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60" w:lineRule="auto" w:before="80"/>
      </w:pPr>
      <w:r>
        <w:rPr/>
        <w:t>INTERVENÇÕES</w:t>
      </w:r>
      <w:r>
        <w:rPr>
          <w:spacing w:val="80"/>
        </w:rPr>
        <w:t> </w:t>
      </w:r>
      <w:r>
        <w:rPr/>
        <w:t>NÃO</w:t>
      </w:r>
      <w:r>
        <w:rPr>
          <w:spacing w:val="40"/>
        </w:rPr>
        <w:t> </w:t>
      </w:r>
      <w:r>
        <w:rPr/>
        <w:t>FARMACOLÓGICAS</w:t>
      </w:r>
      <w:r>
        <w:rPr>
          <w:spacing w:val="40"/>
        </w:rPr>
        <w:t> </w:t>
      </w:r>
      <w:r>
        <w:rPr/>
        <w:t>DURANTE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TRATAMENTO</w:t>
      </w:r>
      <w:r>
        <w:rPr>
          <w:spacing w:val="40"/>
        </w:rPr>
        <w:t> </w:t>
      </w:r>
      <w:r>
        <w:rPr/>
        <w:t>DE INFUSÃO DA CETAMINA EM SETTING HOSPITALAR:</w:t>
      </w:r>
      <w:r>
        <w:rPr>
          <w:spacing w:val="40"/>
        </w:rPr>
        <w:t> </w:t>
      </w:r>
      <w:r>
        <w:rPr/>
        <w:t>REVISÃO NARRATIVA.</w:t>
      </w:r>
    </w:p>
    <w:p>
      <w:pPr>
        <w:pStyle w:val="BodyText"/>
        <w:ind w:left="0"/>
        <w:jc w:val="left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INTRODUÇÃO</w:t>
      </w:r>
    </w:p>
    <w:p>
      <w:pPr>
        <w:pStyle w:val="BodyText"/>
        <w:spacing w:line="360" w:lineRule="auto" w:before="138"/>
        <w:ind w:right="114" w:firstLine="720"/>
      </w:pPr>
      <w:r>
        <w:rPr/>
        <w:t>A</w:t>
      </w:r>
      <w:r>
        <w:rPr>
          <w:spacing w:val="80"/>
          <w:w w:val="150"/>
        </w:rPr>
        <w:t>  </w:t>
      </w:r>
      <w:r>
        <w:rPr/>
        <w:t>cetamina,</w:t>
      </w:r>
      <w:r>
        <w:rPr>
          <w:spacing w:val="80"/>
          <w:w w:val="150"/>
        </w:rPr>
        <w:t>  </w:t>
      </w:r>
      <w:r>
        <w:rPr/>
        <w:t>classificada</w:t>
      </w:r>
      <w:r>
        <w:rPr>
          <w:spacing w:val="80"/>
          <w:w w:val="150"/>
        </w:rPr>
        <w:t>  </w:t>
      </w:r>
      <w:r>
        <w:rPr/>
        <w:t>como</w:t>
      </w:r>
      <w:r>
        <w:rPr>
          <w:spacing w:val="80"/>
          <w:w w:val="150"/>
        </w:rPr>
        <w:t>  </w:t>
      </w:r>
      <w:r>
        <w:rPr/>
        <w:t>um</w:t>
      </w:r>
      <w:r>
        <w:rPr>
          <w:spacing w:val="80"/>
          <w:w w:val="150"/>
        </w:rPr>
        <w:t>  </w:t>
      </w:r>
      <w:r>
        <w:rPr/>
        <w:t>antagonista</w:t>
      </w:r>
      <w:r>
        <w:rPr>
          <w:spacing w:val="80"/>
          <w:w w:val="150"/>
        </w:rPr>
        <w:t>  </w:t>
      </w:r>
      <w:r>
        <w:rPr/>
        <w:t>do</w:t>
      </w:r>
      <w:r>
        <w:rPr>
          <w:spacing w:val="280"/>
        </w:rPr>
        <w:t> </w:t>
      </w:r>
      <w:r>
        <w:rPr/>
        <w:t>receptor N-metil-D-aspartato (NMDA), vem se destacando na pesquisa científica 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clínica médica por seu papel potencialmente revolucionário no tratamento de uma variedade de condições psiquiátricas que</w:t>
      </w:r>
      <w:r>
        <w:rPr>
          <w:spacing w:val="-3"/>
        </w:rPr>
        <w:t> </w:t>
      </w:r>
      <w:r>
        <w:rPr/>
        <w:t>provaram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resistentes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outros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de tratamento. Notavelmente, a substância demonstrou uma eficácia rápida, proporcionando alívio dos sintomas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questão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dias,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contraste</w:t>
      </w:r>
      <w:r>
        <w:rPr>
          <w:spacing w:val="-3"/>
        </w:rPr>
        <w:t> </w:t>
      </w:r>
      <w:r>
        <w:rPr/>
        <w:t>com os antidepressivos convencionais, que geralmente requerem várias semanas </w:t>
      </w:r>
      <w:r>
        <w:rPr/>
        <w:t>para manifestar seus efeitos (BERMAN et al, 2000; LEE et al, 2015; KISHIMOTO et al, 2016; ZARATE et al, 2006).</w:t>
      </w:r>
    </w:p>
    <w:p>
      <w:pPr>
        <w:pStyle w:val="BodyText"/>
        <w:spacing w:line="360" w:lineRule="auto"/>
        <w:ind w:right="115" w:firstLine="801"/>
      </w:pPr>
      <w:r>
        <w:rPr/>
        <w:t>Além de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ação</w:t>
      </w:r>
      <w:r>
        <w:rPr>
          <w:spacing w:val="-4"/>
        </w:rPr>
        <w:t> </w:t>
      </w:r>
      <w:r>
        <w:rPr/>
        <w:t>neuroquímica,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cetamina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notória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suas</w:t>
      </w:r>
      <w:r>
        <w:rPr>
          <w:spacing w:val="-4"/>
        </w:rPr>
        <w:t> </w:t>
      </w:r>
      <w:r>
        <w:rPr/>
        <w:t>propriedades psicodélicas. Estes efeitos são amplamente variáveis e intimamente ligados à dose administrada. Em</w:t>
      </w:r>
      <w:r>
        <w:rPr>
          <w:spacing w:val="-4"/>
        </w:rPr>
        <w:t> </w:t>
      </w:r>
      <w:r>
        <w:rPr/>
        <w:t>doses</w:t>
      </w:r>
      <w:r>
        <w:rPr>
          <w:spacing w:val="-4"/>
        </w:rPr>
        <w:t> </w:t>
      </w:r>
      <w:r>
        <w:rPr/>
        <w:t>baixas,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substância</w:t>
      </w:r>
      <w:r>
        <w:rPr>
          <w:spacing w:val="-4"/>
        </w:rPr>
        <w:t> </w:t>
      </w:r>
      <w:r>
        <w:rPr/>
        <w:t>pode</w:t>
      </w:r>
      <w:r>
        <w:rPr>
          <w:spacing w:val="-4"/>
        </w:rPr>
        <w:t> </w:t>
      </w:r>
      <w:r>
        <w:rPr/>
        <w:t>produzir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estado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ordinário de consciência, onde o usuário pode experimentar uma variedade de efeitos, incluindo alterações sensoriais, percepção distorcida do tempo e espaço, e experiências fora do corpo (LI et al. 2019).</w:t>
      </w:r>
    </w:p>
    <w:p>
      <w:pPr>
        <w:pStyle w:val="BodyText"/>
        <w:spacing w:line="360" w:lineRule="auto"/>
        <w:ind w:right="113" w:firstLine="720"/>
      </w:pPr>
      <w:r>
        <w:rPr/>
        <w:t>Além disso, em um ensaio clínico randomizado, todos os participantes</w:t>
      </w:r>
      <w:r>
        <w:rPr>
          <w:spacing w:val="40"/>
        </w:rPr>
        <w:t> </w:t>
      </w:r>
      <w:r>
        <w:rPr/>
        <w:t>tiveram experiências tipicamente psicodélicas durante o tratamento com cetamina. Essas experiências resultaram em mudanças na compreensão sobre a vida, nas relações interpessoais, no enfrentamento de problemas e na percepção de sua própria doença. O</w:t>
      </w:r>
      <w:r>
        <w:rPr>
          <w:spacing w:val="-3"/>
        </w:rPr>
        <w:t> </w:t>
      </w:r>
      <w:r>
        <w:rPr/>
        <w:t>estudo</w:t>
      </w:r>
      <w:r>
        <w:rPr>
          <w:spacing w:val="-3"/>
        </w:rPr>
        <w:t> </w:t>
      </w:r>
      <w:r>
        <w:rPr/>
        <w:t>também</w:t>
      </w:r>
      <w:r>
        <w:rPr>
          <w:spacing w:val="-3"/>
        </w:rPr>
        <w:t> </w:t>
      </w:r>
      <w:r>
        <w:rPr/>
        <w:t>identificou</w:t>
      </w:r>
      <w:r>
        <w:rPr>
          <w:spacing w:val="-3"/>
        </w:rPr>
        <w:t> </w:t>
      </w:r>
      <w:r>
        <w:rPr/>
        <w:t>indícios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"sensação</w:t>
      </w:r>
      <w:r>
        <w:rPr>
          <w:spacing w:val="-3"/>
        </w:rPr>
        <w:t> </w:t>
      </w:r>
      <w:r>
        <w:rPr/>
        <w:t>prolongada do efeito psicodélico", que foi acompanhada por transformações na maneira como os participantes enxergavam a vida, as pessoas e os desafios </w:t>
      </w:r>
      <w:r>
        <w:rPr/>
        <w:t>enfrentados. Notavelmente, houve uma mudança significativa na forma como percebiam sua própria depressão (SUMNER et al, 2019).</w:t>
      </w:r>
    </w:p>
    <w:p>
      <w:pPr>
        <w:pStyle w:val="BodyText"/>
        <w:spacing w:line="360" w:lineRule="auto"/>
        <w:ind w:right="114" w:firstLine="816"/>
      </w:pPr>
      <w:r>
        <w:rPr/>
        <w:t>Embora a cetamina tenha demonstrado um notável potencial terapêutico </w:t>
      </w:r>
      <w:r>
        <w:rPr/>
        <w:t>no tratamento de</w:t>
      </w:r>
      <w:r>
        <w:rPr>
          <w:spacing w:val="-4"/>
        </w:rPr>
        <w:t> </w:t>
      </w:r>
      <w:r>
        <w:rPr/>
        <w:t>diversas</w:t>
      </w:r>
      <w:r>
        <w:rPr>
          <w:spacing w:val="-4"/>
        </w:rPr>
        <w:t> </w:t>
      </w:r>
      <w:r>
        <w:rPr/>
        <w:t>condições</w:t>
      </w:r>
      <w:r>
        <w:rPr>
          <w:spacing w:val="-4"/>
        </w:rPr>
        <w:t> </w:t>
      </w:r>
      <w:r>
        <w:rPr/>
        <w:t>psiquiátricas,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importante</w:t>
      </w:r>
      <w:r>
        <w:rPr>
          <w:spacing w:val="-4"/>
        </w:rPr>
        <w:t> </w:t>
      </w:r>
      <w:r>
        <w:rPr/>
        <w:t>esclarecer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uso não está isento de efeitos</w:t>
      </w:r>
      <w:r>
        <w:rPr>
          <w:spacing w:val="-3"/>
        </w:rPr>
        <w:t> </w:t>
      </w:r>
      <w:r>
        <w:rPr/>
        <w:t>adversos.</w:t>
      </w:r>
      <w:r>
        <w:rPr>
          <w:spacing w:val="-3"/>
        </w:rPr>
        <w:t> </w:t>
      </w:r>
      <w:r>
        <w:rPr/>
        <w:t>Diversos</w:t>
      </w:r>
      <w:r>
        <w:rPr>
          <w:spacing w:val="-3"/>
        </w:rPr>
        <w:t> </w:t>
      </w:r>
      <w:r>
        <w:rPr/>
        <w:t>estudos</w:t>
      </w:r>
      <w:r>
        <w:rPr>
          <w:spacing w:val="-3"/>
        </w:rPr>
        <w:t> </w:t>
      </w:r>
      <w:r>
        <w:rPr/>
        <w:t>relatam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muitos</w:t>
      </w:r>
      <w:r>
        <w:rPr>
          <w:spacing w:val="-3"/>
        </w:rPr>
        <w:t> </w:t>
      </w:r>
      <w:r>
        <w:rPr/>
        <w:t>pacientes experimentam uma gama de efeitos colaterais durante as sessões de tratamento com a substância. Estes podem incluir dissociação, ansiedade, confusão, entre outros. (ACEVEDO-DIAZ et al, 2018; CEBAN et al, 2018; SHORT et al, 2017).</w:t>
      </w:r>
    </w:p>
    <w:p>
      <w:pPr>
        <w:spacing w:after="0" w:line="360" w:lineRule="auto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360" w:lineRule="auto" w:before="80"/>
        <w:ind w:right="113" w:firstLine="720"/>
      </w:pPr>
      <w:r>
        <w:rPr/>
        <w:t>Esses efeitos adversos destacam a importância de administrar a </w:t>
      </w:r>
      <w:r>
        <w:rPr/>
        <w:t>cetamina</w:t>
      </w:r>
      <w:r>
        <w:rPr>
          <w:spacing w:val="40"/>
        </w:rPr>
        <w:t> </w:t>
      </w:r>
      <w:r>
        <w:rPr/>
        <w:t>em um ambiente clínico/hospitalar controlado, sob a supervisão de profissionais de saúde qualificados. Além disso, ressalta a necessidade de mais pesquisas para entender melhor como manejar esses efeitos colaterais e maximizar os benefícios terapêuticos do tratamento com cetamina.</w:t>
      </w:r>
    </w:p>
    <w:p>
      <w:pPr>
        <w:pStyle w:val="BodyText"/>
        <w:spacing w:line="360" w:lineRule="auto"/>
        <w:ind w:right="116" w:firstLine="720"/>
      </w:pPr>
      <w:r>
        <w:rPr/>
        <w:t>Nesse contexto, é relevante salientar que o debate em torno do uso </w:t>
      </w:r>
      <w:r>
        <w:rPr/>
        <w:t>da cetamina está inserido em uma discussão mais ampla sobre os possíveis efeitos terapêuticos das drogas psicodélicas. Dessa forma, surgem</w:t>
      </w:r>
      <w:r>
        <w:rPr>
          <w:spacing w:val="-3"/>
        </w:rPr>
        <w:t> </w:t>
      </w:r>
      <w:r>
        <w:rPr/>
        <w:t>questões</w:t>
      </w:r>
      <w:r>
        <w:rPr>
          <w:spacing w:val="-3"/>
        </w:rPr>
        <w:t> </w:t>
      </w:r>
      <w:r>
        <w:rPr/>
        <w:t>importantes</w:t>
      </w:r>
      <w:r>
        <w:rPr>
          <w:spacing w:val="-3"/>
        </w:rPr>
        <w:t> </w:t>
      </w:r>
      <w:r>
        <w:rPr/>
        <w:t>a respeito da relação entre esses efeitos e estados não ordinários de consciência, bem como a possibilidade de separar os benefícios terapêuticos da dissociação e</w:t>
      </w:r>
      <w:r>
        <w:rPr>
          <w:spacing w:val="40"/>
        </w:rPr>
        <w:t> </w:t>
      </w:r>
      <w:r>
        <w:rPr/>
        <w:t>de outras dimensões da experiência psicodélica (MASHOUR, 2022).</w:t>
      </w:r>
    </w:p>
    <w:p>
      <w:pPr>
        <w:pStyle w:val="BodyText"/>
        <w:spacing w:line="360" w:lineRule="auto"/>
        <w:ind w:right="118" w:firstLine="720"/>
      </w:pPr>
      <w:r>
        <w:rPr/>
        <w:t>Esse debate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comunidade</w:t>
      </w:r>
      <w:r>
        <w:rPr>
          <w:spacing w:val="-5"/>
        </w:rPr>
        <w:t> </w:t>
      </w:r>
      <w:r>
        <w:rPr/>
        <w:t>científica</w:t>
      </w:r>
      <w:r>
        <w:rPr>
          <w:spacing w:val="-5"/>
        </w:rPr>
        <w:t> </w:t>
      </w:r>
      <w:r>
        <w:rPr/>
        <w:t>reflete</w:t>
      </w:r>
      <w:r>
        <w:rPr>
          <w:spacing w:val="-5"/>
        </w:rPr>
        <w:t> </w:t>
      </w:r>
      <w:r>
        <w:rPr/>
        <w:t>visões</w:t>
      </w:r>
      <w:r>
        <w:rPr>
          <w:spacing w:val="-5"/>
        </w:rPr>
        <w:t> </w:t>
      </w:r>
      <w:r>
        <w:rPr/>
        <w:t>antagonistas</w:t>
      </w:r>
      <w:r>
        <w:rPr>
          <w:spacing w:val="-5"/>
        </w:rPr>
        <w:t> </w:t>
      </w:r>
      <w:r>
        <w:rPr/>
        <w:t>sobre</w:t>
      </w:r>
      <w:r>
        <w:rPr>
          <w:spacing w:val="-5"/>
        </w:rPr>
        <w:t> </w:t>
      </w:r>
      <w:r>
        <w:rPr/>
        <w:t>como abordar os efeitos subjetivos da cetamina no</w:t>
      </w:r>
      <w:r>
        <w:rPr>
          <w:spacing w:val="-3"/>
        </w:rPr>
        <w:t> </w:t>
      </w:r>
      <w:r>
        <w:rPr/>
        <w:t>tratamento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condições</w:t>
      </w:r>
      <w:r>
        <w:rPr>
          <w:spacing w:val="-3"/>
        </w:rPr>
        <w:t> </w:t>
      </w:r>
      <w:r>
        <w:rPr/>
        <w:t>psiquiátricas. Essas questões epistemológicas de como os efeitos dissociativos são abordados torna-se importante, pois reflete diretamente nas intervenções que serão</w:t>
      </w:r>
      <w:r>
        <w:rPr>
          <w:spacing w:val="-4"/>
        </w:rPr>
        <w:t> </w:t>
      </w:r>
      <w:r>
        <w:rPr/>
        <w:t>realizadas e, consequentemente, na resposta ao tratamento.</w:t>
      </w:r>
    </w:p>
    <w:p>
      <w:pPr>
        <w:pStyle w:val="BodyText"/>
        <w:spacing w:line="360" w:lineRule="auto"/>
        <w:ind w:right="114" w:firstLine="720"/>
      </w:pPr>
      <w:r>
        <w:rPr/>
        <w:t>Por um lado, na perspectiva psicotomimética, o efeito dissociativo da substância é considerado um obstáculo que deve ser contornado para tornar </w:t>
      </w:r>
      <w:r>
        <w:rPr/>
        <w:t>o tratamento mais seguro e tolerável. Diante dessa perspectiva, estratégias para minimizar essas experiências são sugeridas, considerando esses efeitos como efeitos colaterais potenciais (COOPER et al, 2016).</w:t>
      </w:r>
    </w:p>
    <w:p>
      <w:pPr>
        <w:pStyle w:val="BodyText"/>
        <w:spacing w:line="360" w:lineRule="auto"/>
        <w:ind w:right="118" w:firstLine="720"/>
      </w:pPr>
      <w:r>
        <w:rPr/>
        <w:t>Por outro lado, é importante destacar que, apesar dos desafios e desconfortos que podem acompanhar os efeitos da cetamina, em estudos mais robustos e aprofundados, observou-se que pacientes que experimentaram efeitos dissociativos durante o tratamento com cetamina frequentemente </w:t>
      </w:r>
      <w:r>
        <w:rPr/>
        <w:t>relataram melhorias mais significativas e duradouras em seus sintomas (LUCKENBAUGH et al, 2014; NICIU et al, 2018).</w:t>
      </w:r>
    </w:p>
    <w:p>
      <w:pPr>
        <w:pStyle w:val="BodyText"/>
        <w:spacing w:line="360" w:lineRule="auto"/>
        <w:ind w:right="115" w:firstLine="720"/>
      </w:pPr>
      <w:r>
        <w:rPr/>
        <w:t>Isso sugere uma perspectiva intrigante no entendimento dos efeitos </w:t>
      </w:r>
      <w:r>
        <w:rPr/>
        <w:t>da cetamina. O que é frequentemente descrito como efeito colateral indesejado, particularmente a dissociação, pode ser um componente crucial para a eficácia do tratamento com cetamina. Essa abordagem desafia a visão convencional de que esse efeito é</w:t>
      </w:r>
      <w:r>
        <w:rPr>
          <w:spacing w:val="40"/>
        </w:rPr>
        <w:t> </w:t>
      </w:r>
      <w:r>
        <w:rPr/>
        <w:t>inerentemente negativo.</w:t>
      </w:r>
    </w:p>
    <w:p>
      <w:pPr>
        <w:pStyle w:val="BodyText"/>
        <w:spacing w:line="360" w:lineRule="auto"/>
        <w:ind w:right="116" w:firstLine="720"/>
      </w:pPr>
      <w:r>
        <w:rPr/>
        <w:t>Assim, a experiência do paciente durante a sessão com cetamina </w:t>
      </w:r>
      <w:r>
        <w:rPr/>
        <w:t>é multifatorial</w:t>
      </w:r>
      <w:r>
        <w:rPr>
          <w:spacing w:val="74"/>
        </w:rPr>
        <w:t> </w:t>
      </w:r>
      <w:r>
        <w:rPr/>
        <w:t>e</w:t>
      </w:r>
      <w:r>
        <w:rPr>
          <w:spacing w:val="74"/>
        </w:rPr>
        <w:t> </w:t>
      </w:r>
      <w:r>
        <w:rPr/>
        <w:t>pode</w:t>
      </w:r>
      <w:r>
        <w:rPr>
          <w:spacing w:val="74"/>
        </w:rPr>
        <w:t> </w:t>
      </w:r>
      <w:r>
        <w:rPr/>
        <w:t>ser</w:t>
      </w:r>
      <w:r>
        <w:rPr>
          <w:spacing w:val="74"/>
        </w:rPr>
        <w:t> </w:t>
      </w:r>
      <w:r>
        <w:rPr/>
        <w:t>influenciada</w:t>
      </w:r>
      <w:r>
        <w:rPr>
          <w:spacing w:val="74"/>
        </w:rPr>
        <w:t> </w:t>
      </w:r>
      <w:r>
        <w:rPr/>
        <w:t>por</w:t>
      </w:r>
      <w:r>
        <w:rPr>
          <w:spacing w:val="74"/>
        </w:rPr>
        <w:t> </w:t>
      </w:r>
      <w:r>
        <w:rPr/>
        <w:t>elementos</w:t>
      </w:r>
      <w:r>
        <w:rPr>
          <w:spacing w:val="59"/>
        </w:rPr>
        <w:t> </w:t>
      </w:r>
      <w:r>
        <w:rPr/>
        <w:t>contextuais</w:t>
      </w:r>
      <w:r>
        <w:rPr>
          <w:spacing w:val="59"/>
        </w:rPr>
        <w:t> </w:t>
      </w:r>
      <w:r>
        <w:rPr/>
        <w:t>que</w:t>
      </w:r>
      <w:r>
        <w:rPr>
          <w:spacing w:val="59"/>
        </w:rPr>
        <w:t> </w:t>
      </w:r>
      <w:r>
        <w:rPr>
          <w:spacing w:val="-2"/>
        </w:rPr>
        <w:t>influenciam</w:t>
      </w:r>
    </w:p>
    <w:p>
      <w:pPr>
        <w:spacing w:after="0" w:line="360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line="360" w:lineRule="auto" w:before="80"/>
        <w:ind w:right="112"/>
      </w:pPr>
      <w:r>
        <w:rPr/>
        <w:t>diretamente na resposta ao tratamento, portanto, diante da crescente expansão de sua aplicação terapêutica, é crucial compreender, de forma abrangente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integral,</w:t>
      </w:r>
      <w:r>
        <w:rPr>
          <w:spacing w:val="-4"/>
        </w:rPr>
        <w:t> </w:t>
      </w:r>
      <w:r>
        <w:rPr/>
        <w:t>a experiência subjetiva do paciente durante o tratamento com infusão de cetamina, </w:t>
      </w:r>
      <w:r>
        <w:rPr/>
        <w:t>e que considere tanto os</w:t>
      </w:r>
      <w:r>
        <w:rPr>
          <w:spacing w:val="-5"/>
        </w:rPr>
        <w:t> </w:t>
      </w:r>
      <w:r>
        <w:rPr/>
        <w:t>aspectos</w:t>
      </w:r>
      <w:r>
        <w:rPr>
          <w:spacing w:val="-5"/>
        </w:rPr>
        <w:t> </w:t>
      </w:r>
      <w:r>
        <w:rPr/>
        <w:t>psicológicos</w:t>
      </w:r>
      <w:r>
        <w:rPr>
          <w:spacing w:val="-5"/>
        </w:rPr>
        <w:t> </w:t>
      </w:r>
      <w:r>
        <w:rPr/>
        <w:t>quanto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físicos</w:t>
      </w:r>
      <w:r>
        <w:rPr>
          <w:spacing w:val="-5"/>
        </w:rPr>
        <w:t> </w:t>
      </w:r>
      <w:r>
        <w:rPr/>
        <w:t>(CARHART-HARRIS et al, 2018).</w:t>
      </w:r>
    </w:p>
    <w:p>
      <w:pPr>
        <w:pStyle w:val="BodyText"/>
        <w:spacing w:line="360" w:lineRule="auto"/>
        <w:ind w:right="116" w:firstLine="720"/>
      </w:pPr>
      <w:r>
        <w:rPr/>
        <w:t>Diante desse contexto, o conceito de </w:t>
      </w:r>
      <w:r>
        <w:rPr>
          <w:i/>
        </w:rPr>
        <w:t>“set and setting” </w:t>
      </w:r>
      <w:r>
        <w:rPr/>
        <w:t>se torna </w:t>
      </w:r>
      <w:r>
        <w:rPr/>
        <w:t>fundamental para compreendermos de uma forma mais ampla a complexidade da experiência psicodélica. Esse conceito abrange dois elementos importantes que influenciam a experiência de um indivíduo ao usar substâncias psicodélicas</w:t>
      </w:r>
      <w:r>
        <w:rPr>
          <w:spacing w:val="40"/>
        </w:rPr>
        <w:t> </w:t>
      </w:r>
      <w:r>
        <w:rPr/>
        <w:t>(LEARY et al, 1963).</w:t>
      </w:r>
    </w:p>
    <w:p>
      <w:pPr>
        <w:pStyle w:val="BodyText"/>
        <w:spacing w:line="360" w:lineRule="auto"/>
        <w:ind w:right="112" w:firstLine="720"/>
      </w:pPr>
      <w:r>
        <w:rPr/>
        <w:t>Primeiramente, o termo </w:t>
      </w:r>
      <w:r>
        <w:rPr>
          <w:i/>
        </w:rPr>
        <w:t>"set" </w:t>
      </w:r>
      <w:r>
        <w:rPr/>
        <w:t>refere-se ao estado mental ou à </w:t>
      </w:r>
      <w:r>
        <w:rPr/>
        <w:t>disposição emocional de uma pessoa antes e durante a experiência psicodélica. Isso engloba vários aspectos, incluindo expectativas, humor, saúde</w:t>
      </w:r>
      <w:r>
        <w:rPr>
          <w:spacing w:val="-4"/>
        </w:rPr>
        <w:t> </w:t>
      </w:r>
      <w:r>
        <w:rPr/>
        <w:t>mental</w:t>
      </w:r>
      <w:r>
        <w:rPr>
          <w:spacing w:val="-4"/>
        </w:rPr>
        <w:t> </w:t>
      </w:r>
      <w:r>
        <w:rPr/>
        <w:t>geral,</w:t>
      </w:r>
      <w:r>
        <w:rPr>
          <w:spacing w:val="-4"/>
        </w:rPr>
        <w:t> </w:t>
      </w:r>
      <w:r>
        <w:rPr/>
        <w:t>emoções</w:t>
      </w:r>
      <w:r>
        <w:rPr>
          <w:spacing w:val="-4"/>
        </w:rPr>
        <w:t> </w:t>
      </w:r>
      <w:r>
        <w:rPr/>
        <w:t>atuais e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objetivos</w:t>
      </w:r>
      <w:r>
        <w:rPr>
          <w:spacing w:val="40"/>
        </w:rPr>
        <w:t> </w:t>
      </w:r>
      <w:r>
        <w:rPr/>
        <w:t>pretendidos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experiência.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seguida,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>
          <w:i/>
        </w:rPr>
        <w:t>"setting" </w:t>
      </w:r>
      <w:r>
        <w:rPr/>
        <w:t>relaciona-se ao ambiente físico e social onde a experiência psicodélica acontece, que inclui o ambiente, a presença de outras pessoas e suas atitudes, a música, a iluminação, o conforto físico e a segurança. Sendo assim, para garantir uma experiência psicodélica positiva, é comumente sugerido que o ambiente seja</w:t>
      </w:r>
      <w:r>
        <w:rPr>
          <w:spacing w:val="40"/>
        </w:rPr>
        <w:t> </w:t>
      </w:r>
      <w:r>
        <w:rPr/>
        <w:t>seguro, confortável e acolhedor, pois isso ajuda a minimizar a ansiedade e dá ao indivíduo a liberdade para explorar a experiência de forma plena (LEARY et al,</w:t>
      </w:r>
      <w:r>
        <w:rPr>
          <w:spacing w:val="40"/>
        </w:rPr>
        <w:t> </w:t>
      </w:r>
      <w:r>
        <w:rPr/>
        <w:t>1963; HARTOGSHON, 2017).</w:t>
      </w:r>
    </w:p>
    <w:p>
      <w:pPr>
        <w:pStyle w:val="BodyText"/>
        <w:spacing w:line="360" w:lineRule="auto"/>
        <w:ind w:right="112" w:firstLine="801"/>
      </w:pPr>
      <w:r>
        <w:rPr/>
        <w:t>Por fim, para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compreensão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completa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experiência</w:t>
      </w:r>
      <w:r>
        <w:rPr>
          <w:spacing w:val="-4"/>
        </w:rPr>
        <w:t> </w:t>
      </w:r>
      <w:r>
        <w:rPr/>
        <w:t>psicodélica,</w:t>
      </w:r>
      <w:r>
        <w:rPr>
          <w:spacing w:val="-4"/>
        </w:rPr>
        <w:t> </w:t>
      </w:r>
      <w:r>
        <w:rPr/>
        <w:t>é fundamental considerar um terceiro elemento: o conceito de "Matrix". Esse termo leva em consideração a origem do indivíduo, o ambiente onde este indivíduo se encontra durante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período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sessões</w:t>
      </w:r>
      <w:r>
        <w:rPr>
          <w:spacing w:val="-3"/>
        </w:rPr>
        <w:t> </w:t>
      </w:r>
      <w:r>
        <w:rPr/>
        <w:t>terapêuticas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indivíduo retorna após a conclusão da terapia, que é o seu ambiente de vida cotidiana (EISNER, 1997).</w:t>
      </w:r>
    </w:p>
    <w:p>
      <w:pPr>
        <w:pStyle w:val="BodyText"/>
        <w:spacing w:line="360" w:lineRule="auto"/>
        <w:ind w:right="113" w:firstLine="720"/>
      </w:pPr>
      <w:r>
        <w:rPr/>
        <w:t>Dessa maneira, </w:t>
      </w:r>
      <w:r>
        <w:rPr>
          <w:i/>
        </w:rPr>
        <w:t>"Set, Setting e Matrix" </w:t>
      </w:r>
      <w:r>
        <w:rPr/>
        <w:t>são vistos como fatores </w:t>
      </w:r>
      <w:r>
        <w:rPr/>
        <w:t>importantes para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natureza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qualidade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experiência</w:t>
      </w:r>
      <w:r>
        <w:rPr>
          <w:spacing w:val="40"/>
        </w:rPr>
        <w:t> </w:t>
      </w:r>
      <w:r>
        <w:rPr/>
        <w:t>psicodélica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indivíduo, constituindo-se como pilares fundamentais para uma intervenção mais segura e efetiva, portanto, é necessário considerar a atuação de um suporte psicológico adequado que considere elementos para além do efeito farmacológico produzido pela cetamina.</w:t>
      </w:r>
    </w:p>
    <w:p>
      <w:pPr>
        <w:pStyle w:val="BodyText"/>
        <w:spacing w:line="360" w:lineRule="auto"/>
        <w:ind w:right="113" w:firstLine="720"/>
      </w:pPr>
      <w:r>
        <w:rPr/>
        <w:t>Portanto, quando essas experiências são adequadamente </w:t>
      </w:r>
      <w:r>
        <w:rPr/>
        <w:t>conduzidas, podem</w:t>
      </w:r>
      <w:r>
        <w:rPr>
          <w:spacing w:val="26"/>
        </w:rPr>
        <w:t>  </w:t>
      </w:r>
      <w:r>
        <w:rPr/>
        <w:t>ter</w:t>
      </w:r>
      <w:r>
        <w:rPr>
          <w:spacing w:val="26"/>
        </w:rPr>
        <w:t>  </w:t>
      </w:r>
      <w:r>
        <w:rPr/>
        <w:t>um</w:t>
      </w:r>
      <w:r>
        <w:rPr>
          <w:spacing w:val="26"/>
        </w:rPr>
        <w:t>  </w:t>
      </w:r>
      <w:r>
        <w:rPr/>
        <w:t>impacto</w:t>
      </w:r>
      <w:r>
        <w:rPr>
          <w:spacing w:val="26"/>
        </w:rPr>
        <w:t>  </w:t>
      </w:r>
      <w:r>
        <w:rPr/>
        <w:t>profundo</w:t>
      </w:r>
      <w:r>
        <w:rPr>
          <w:spacing w:val="26"/>
        </w:rPr>
        <w:t>  </w:t>
      </w:r>
      <w:r>
        <w:rPr/>
        <w:t>e</w:t>
      </w:r>
      <w:r>
        <w:rPr>
          <w:spacing w:val="26"/>
        </w:rPr>
        <w:t>  </w:t>
      </w:r>
      <w:r>
        <w:rPr/>
        <w:t>o</w:t>
      </w:r>
      <w:r>
        <w:rPr>
          <w:spacing w:val="72"/>
          <w:w w:val="150"/>
        </w:rPr>
        <w:t> </w:t>
      </w:r>
      <w:r>
        <w:rPr/>
        <w:t>potencial</w:t>
      </w:r>
      <w:r>
        <w:rPr>
          <w:spacing w:val="71"/>
          <w:w w:val="150"/>
        </w:rPr>
        <w:t> </w:t>
      </w:r>
      <w:r>
        <w:rPr/>
        <w:t>de</w:t>
      </w:r>
      <w:r>
        <w:rPr>
          <w:spacing w:val="70"/>
          <w:w w:val="150"/>
        </w:rPr>
        <w:t> </w:t>
      </w:r>
      <w:r>
        <w:rPr/>
        <w:t>provocar</w:t>
      </w:r>
      <w:r>
        <w:rPr>
          <w:spacing w:val="71"/>
          <w:w w:val="150"/>
        </w:rPr>
        <w:t> </w:t>
      </w:r>
      <w:r>
        <w:rPr>
          <w:spacing w:val="-2"/>
        </w:rPr>
        <w:t>transformações</w:t>
      </w:r>
    </w:p>
    <w:p>
      <w:pPr>
        <w:spacing w:after="0" w:line="360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line="360" w:lineRule="auto" w:before="80"/>
        <w:ind w:right="118"/>
      </w:pPr>
      <w:r>
        <w:rPr/>
        <w:t>substanciais. Esse processo pode levar a uma maior compreensão de si mesmo </w:t>
      </w:r>
      <w:r>
        <w:rPr/>
        <w:t>e de suas experiências, e a diminuição dos sintomas das condições psiquiátricas (DORE et al, 2018).</w:t>
      </w:r>
    </w:p>
    <w:p>
      <w:pPr>
        <w:pStyle w:val="BodyText"/>
        <w:spacing w:line="360" w:lineRule="auto"/>
        <w:ind w:right="119" w:firstLine="720"/>
      </w:pPr>
      <w:r>
        <w:rPr/>
        <w:t>Estes efeitos podem diretamete ligados a ação neuropsicofarmacológica </w:t>
      </w:r>
      <w:r>
        <w:rPr/>
        <w:t>da cetamina, e pode auxiliar no "reconfigurar" das redes neurais que estão envolvidas em diversas condições psiquiátricas. Essa "reconfiguração" pode facilitar a quebra de padrões de pensamento negativos, permitindo um novo aprendizado e adaptabilidade emocional, o que pode resultar em uma melhoria mais duradoura</w:t>
      </w:r>
      <w:r>
        <w:rPr>
          <w:spacing w:val="40"/>
        </w:rPr>
        <w:t> </w:t>
      </w:r>
      <w:r>
        <w:rPr/>
        <w:t>dos sintomas </w:t>
      </w:r>
      <w:r>
        <w:rPr>
          <w:b/>
        </w:rPr>
        <w:t>(</w:t>
      </w:r>
      <w:hyperlink r:id="rId5">
        <w:r>
          <w:rPr>
            <w:b/>
            <w:color w:val="1154CC"/>
            <w:u w:val="single" w:color="1154CC"/>
          </w:rPr>
          <w:t>https://www.nature.com/articles/s41398-023-02451-0</w:t>
        </w:r>
      </w:hyperlink>
      <w:r>
        <w:rPr>
          <w:b/>
        </w:rPr>
        <w:t>)</w:t>
      </w:r>
      <w:r>
        <w:rPr/>
        <w:t>.</w:t>
      </w:r>
    </w:p>
    <w:p>
      <w:pPr>
        <w:pStyle w:val="BodyText"/>
        <w:spacing w:line="360" w:lineRule="auto"/>
        <w:ind w:right="112" w:firstLine="720"/>
      </w:pPr>
      <w:r>
        <w:rPr/>
        <w:t>É importante mencionar que, apesar de evidências científicas cada vez </w:t>
      </w:r>
      <w:r>
        <w:rPr/>
        <w:t>mais sólidas do potencial terapêutico dessas substâncias em diversos transtornos psiquiátricos (FUENTES et al,</w:t>
      </w:r>
      <w:r>
        <w:rPr>
          <w:spacing w:val="-4"/>
        </w:rPr>
        <w:t> </w:t>
      </w:r>
      <w:r>
        <w:rPr/>
        <w:t>2020;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BRINK,</w:t>
      </w:r>
      <w:r>
        <w:rPr>
          <w:spacing w:val="-4"/>
        </w:rPr>
        <w:t> </w:t>
      </w:r>
      <w:r>
        <w:rPr/>
        <w:t>2022;</w:t>
      </w:r>
      <w:r>
        <w:rPr>
          <w:spacing w:val="40"/>
        </w:rPr>
        <w:t> </w:t>
      </w:r>
      <w:r>
        <w:rPr/>
        <w:t>LI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al,</w:t>
      </w:r>
      <w:r>
        <w:rPr>
          <w:spacing w:val="-4"/>
        </w:rPr>
        <w:t> </w:t>
      </w:r>
      <w:r>
        <w:rPr/>
        <w:t>2022;</w:t>
      </w:r>
      <w:r>
        <w:rPr>
          <w:spacing w:val="-4"/>
        </w:rPr>
        <w:t> </w:t>
      </w:r>
      <w:r>
        <w:rPr/>
        <w:t>SARRIS</w:t>
      </w:r>
      <w:r>
        <w:rPr>
          <w:spacing w:val="-4"/>
        </w:rPr>
        <w:t> </w:t>
      </w:r>
      <w:r>
        <w:rPr/>
        <w:t>et al, 2022; VAMVAKOPOULOU et al, 2022), os psicodélicos ainda são compostos proibidos na maioria dos países, com exceção da cetamina, que é considerada um psicodélico não clássico (MENDES et al, 2022), e o uso </w:t>
      </w:r>
      <w:r>
        <w:rPr>
          <w:i/>
        </w:rPr>
        <w:t>off-label </w:t>
      </w:r>
      <w:r>
        <w:rPr/>
        <w:t>para condições psiquiátricas é permitido no Brasil (ANVISA, 2022).</w:t>
      </w:r>
    </w:p>
    <w:p>
      <w:pPr>
        <w:pStyle w:val="BodyText"/>
        <w:spacing w:line="360" w:lineRule="auto"/>
        <w:ind w:right="115" w:firstLine="720"/>
      </w:pPr>
      <w:r>
        <w:rPr/>
        <w:t>A partir dessas referências teóricas, consideramos a perspectiva da experiência psicodélica ao longo deste trabalho para indicar o efeito subjetivo da dose sub anestésica de cetamina e adotamos a abordagem da</w:t>
      </w:r>
      <w:r>
        <w:rPr>
          <w:spacing w:val="-3"/>
        </w:rPr>
        <w:t> </w:t>
      </w:r>
      <w:r>
        <w:rPr/>
        <w:t>Redução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Danos, que auxilia os pacientes a compreenderem melhor os riscos e benefícios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 psicodélicos. Além disso, incentiva-os a explorar métodos alternativos para atingir seus objetivos e a criar intenções que maximizem os benefícios terapêuticos </w:t>
      </w:r>
      <w:r>
        <w:rPr/>
        <w:t>dessa substância. Essa abordagem, ao reconhecer a autonomia do paciente, apoia </w:t>
      </w:r>
      <w:r>
        <w:rPr/>
        <w:t>suas escolhas de vida, visando minimizar os riscos e maximizar os benefícios. </w:t>
      </w:r>
      <w:r>
        <w:rPr/>
        <w:t>Nesse cenário, os profissionais de saúde</w:t>
      </w:r>
      <w:r>
        <w:rPr>
          <w:spacing w:val="-3"/>
        </w:rPr>
        <w:t> </w:t>
      </w:r>
      <w:r>
        <w:rPr/>
        <w:t>podem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reunir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pacientes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ajudá-los a processar a experiência, elucidar os aprendizados ou insights obtidos, prover suporte para possíveis desafios enfrentados e auxiliar na tradução da experiência em mudanças significativas e duradouras (PILECKI, 2021).</w:t>
      </w:r>
    </w:p>
    <w:p>
      <w:pPr>
        <w:pStyle w:val="BodyText"/>
        <w:spacing w:line="360" w:lineRule="auto"/>
        <w:ind w:right="114" w:firstLine="720"/>
      </w:pPr>
      <w:r>
        <w:rPr/>
        <w:t>Deste modo, espera-se que este artigo elucide quais intervenções não farmacológicas podem melhorar a experiência do paciente durante o </w:t>
      </w:r>
      <w:r>
        <w:rPr/>
        <w:t>tratamento</w:t>
      </w:r>
      <w:r>
        <w:rPr>
          <w:spacing w:val="40"/>
        </w:rPr>
        <w:t> </w:t>
      </w:r>
      <w:r>
        <w:rPr/>
        <w:t>com cetamina em setting hospitalar, e contribua para o acesso a intervenções de tratamento que não patologizem a experiência subjetiva dos pacientes, pois as descobertas podem impulsionar uma abordagem para além de uma perspectiva neuro</w:t>
      </w:r>
      <w:r>
        <w:rPr>
          <w:spacing w:val="59"/>
        </w:rPr>
        <w:t> </w:t>
      </w:r>
      <w:r>
        <w:rPr/>
        <w:t>reducionista,</w:t>
      </w:r>
      <w:r>
        <w:rPr>
          <w:spacing w:val="59"/>
        </w:rPr>
        <w:t> </w:t>
      </w:r>
      <w:r>
        <w:rPr/>
        <w:t>e</w:t>
      </w:r>
      <w:r>
        <w:rPr>
          <w:spacing w:val="59"/>
        </w:rPr>
        <w:t> </w:t>
      </w:r>
      <w:r>
        <w:rPr/>
        <w:t>que</w:t>
      </w:r>
      <w:r>
        <w:rPr>
          <w:spacing w:val="59"/>
        </w:rPr>
        <w:t> </w:t>
      </w:r>
      <w:r>
        <w:rPr/>
        <w:t>considera</w:t>
      </w:r>
      <w:r>
        <w:rPr>
          <w:spacing w:val="59"/>
        </w:rPr>
        <w:t> </w:t>
      </w:r>
      <w:r>
        <w:rPr/>
        <w:t>os</w:t>
      </w:r>
      <w:r>
        <w:rPr>
          <w:spacing w:val="59"/>
        </w:rPr>
        <w:t> </w:t>
      </w:r>
      <w:r>
        <w:rPr/>
        <w:t>aspectos</w:t>
      </w:r>
      <w:r>
        <w:rPr>
          <w:spacing w:val="59"/>
        </w:rPr>
        <w:t> </w:t>
      </w:r>
      <w:r>
        <w:rPr/>
        <w:t>psicossociais</w:t>
      </w:r>
      <w:r>
        <w:rPr>
          <w:spacing w:val="59"/>
        </w:rPr>
        <w:t> </w:t>
      </w:r>
      <w:r>
        <w:rPr/>
        <w:t>e</w:t>
      </w:r>
      <w:r>
        <w:rPr>
          <w:spacing w:val="44"/>
        </w:rPr>
        <w:t> </w:t>
      </w:r>
      <w:r>
        <w:rPr/>
        <w:t>espirituais</w:t>
      </w:r>
      <w:r>
        <w:rPr>
          <w:spacing w:val="44"/>
        </w:rPr>
        <w:t> </w:t>
      </w:r>
      <w:r>
        <w:rPr>
          <w:spacing w:val="-5"/>
        </w:rPr>
        <w:t>dos</w:t>
      </w:r>
    </w:p>
    <w:p>
      <w:pPr>
        <w:spacing w:after="0" w:line="360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line="360" w:lineRule="auto" w:before="80"/>
        <w:ind w:right="123"/>
      </w:pPr>
      <w:r>
        <w:rPr/>
        <w:t>indivíduos. Por fim, esse estudo pode fornecer subsídios valiosos para aprimorar </w:t>
      </w:r>
      <w:r>
        <w:rPr/>
        <w:t>a compreensão e o tratamento de condições relacionadas à saúde mental.</w:t>
      </w:r>
    </w:p>
    <w:p>
      <w:pPr>
        <w:pStyle w:val="BodyText"/>
        <w:spacing w:line="360" w:lineRule="auto"/>
        <w:ind w:right="117" w:firstLine="720"/>
      </w:pPr>
      <w:r>
        <w:rPr/>
        <w:t>Diante do exposto, este artigo de revisão narrativa tem como objetivo identificar potenciais intervenções não farmacológicas que possam</w:t>
      </w:r>
      <w:r>
        <w:rPr>
          <w:spacing w:val="40"/>
        </w:rPr>
        <w:t> </w:t>
      </w:r>
      <w:r>
        <w:rPr/>
        <w:t>atuar de </w:t>
      </w:r>
      <w:r>
        <w:rPr/>
        <w:t>forma conjunta com a ação farmacológica da infusão de cetamina em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hospitalar.</w:t>
      </w:r>
      <w:r>
        <w:rPr>
          <w:spacing w:val="-4"/>
        </w:rPr>
        <w:t> </w:t>
      </w:r>
      <w:r>
        <w:rPr/>
        <w:t>A revisão abordará práticas de preparação e suporte ao paciente e estratégias de integração pós sessão, com o objetivo final de</w:t>
      </w:r>
      <w:r>
        <w:rPr>
          <w:spacing w:val="-3"/>
        </w:rPr>
        <w:t> </w:t>
      </w:r>
      <w:r>
        <w:rPr/>
        <w:t>fornecer</w:t>
      </w:r>
      <w:r>
        <w:rPr>
          <w:spacing w:val="-3"/>
        </w:rPr>
        <w:t> </w:t>
      </w:r>
      <w:r>
        <w:rPr/>
        <w:t>possíveis</w:t>
      </w:r>
      <w:r>
        <w:rPr>
          <w:spacing w:val="-3"/>
        </w:rPr>
        <w:t> </w:t>
      </w:r>
      <w:r>
        <w:rPr/>
        <w:t>intervenções</w:t>
      </w:r>
      <w:r>
        <w:rPr>
          <w:spacing w:val="-3"/>
        </w:rPr>
        <w:t> </w:t>
      </w:r>
      <w:r>
        <w:rPr/>
        <w:t>para práticas clínicas humanizadas e centradas em um modelo de cuidado ampliado.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Heading1"/>
      </w:pPr>
      <w:r>
        <w:rPr>
          <w:spacing w:val="-2"/>
        </w:rPr>
        <w:t>METODOLOGIA</w:t>
      </w:r>
    </w:p>
    <w:p>
      <w:pPr>
        <w:pStyle w:val="BodyText"/>
        <w:spacing w:line="360" w:lineRule="auto" w:before="138"/>
        <w:ind w:right="118" w:firstLine="720"/>
      </w:pPr>
      <w:r>
        <w:rPr/>
        <w:t>A metodologia deste artigo adota uma abordagem de revisão narrativa </w:t>
      </w:r>
      <w:r>
        <w:rPr/>
        <w:t>para explorar a literatura existente sobre possíveis intervenções não farmacológicas utilizadas no tratamento com cetamina. Implementamos uma busca eletrônica em bancos de dados científicos de destaque, incluindo PubMed, Scielo, PsyInfo,</w:t>
      </w:r>
      <w:r>
        <w:rPr>
          <w:spacing w:val="40"/>
        </w:rPr>
        <w:t> </w:t>
      </w:r>
      <w:r>
        <w:rPr/>
        <w:t>Scopus e Web of Science.</w:t>
      </w:r>
    </w:p>
    <w:p>
      <w:pPr>
        <w:pStyle w:val="BodyText"/>
        <w:spacing w:line="360" w:lineRule="auto"/>
        <w:ind w:right="113" w:firstLine="720"/>
      </w:pPr>
      <w:r>
        <w:rPr/>
        <w:t>Para a estratégia de busca, incluímos na nossa revisão artigos em inglês de acesso aberto, que utilizam terapia assistida com cetamina e outros psicodélicos clássicos.empregamos os seguintes termos e expressões: "Ketamine", "Ketamine Infusion", "Psychedelic Therapy", “Psychedelics assisted Psychoterapy” , Ketamine assisted Psychotherapy" e "Ketamine Therapy with Psychoterapy". A fórmula </w:t>
      </w:r>
      <w:r>
        <w:rPr/>
        <w:t>de busca principal é: (“Ketamine” OR "Ketamine Infusion") AND ("Ketamine assisted Psychotherapy" OR “Psychedelic assisted Therapy”).</w:t>
      </w:r>
    </w:p>
    <w:p>
      <w:pPr>
        <w:spacing w:after="0" w:line="360" w:lineRule="auto"/>
        <w:sectPr>
          <w:pgSz w:w="11920" w:h="16840"/>
          <w:pgMar w:top="1360" w:bottom="280" w:left="1340" w:right="1340"/>
        </w:sectPr>
      </w:pPr>
    </w:p>
    <w:p>
      <w:pPr>
        <w:pStyle w:val="Heading1"/>
        <w:spacing w:before="80"/>
      </w:pPr>
      <w:r>
        <w:rPr>
          <w:spacing w:val="-2"/>
        </w:rPr>
        <w:t>REFERÊNCIAS</w:t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spacing w:before="218"/>
      </w:pPr>
      <w:r>
        <w:rPr/>
        <w:t>ACEVEDO-DIAZ,</w:t>
      </w:r>
      <w:r>
        <w:rPr>
          <w:spacing w:val="49"/>
          <w:w w:val="150"/>
        </w:rPr>
        <w:t> </w:t>
      </w:r>
      <w:r>
        <w:rPr/>
        <w:t>E.</w:t>
      </w:r>
      <w:r>
        <w:rPr>
          <w:spacing w:val="50"/>
          <w:w w:val="150"/>
        </w:rPr>
        <w:t> </w:t>
      </w:r>
      <w:r>
        <w:rPr/>
        <w:t>E.;</w:t>
      </w:r>
      <w:r>
        <w:rPr>
          <w:spacing w:val="50"/>
          <w:w w:val="150"/>
        </w:rPr>
        <w:t> </w:t>
      </w:r>
      <w:r>
        <w:rPr/>
        <w:t>CAVANAUGH,</w:t>
      </w:r>
      <w:r>
        <w:rPr>
          <w:spacing w:val="50"/>
          <w:w w:val="150"/>
        </w:rPr>
        <w:t> </w:t>
      </w:r>
      <w:r>
        <w:rPr/>
        <w:t>G.</w:t>
      </w:r>
      <w:r>
        <w:rPr>
          <w:spacing w:val="50"/>
          <w:w w:val="150"/>
        </w:rPr>
        <w:t> </w:t>
      </w:r>
      <w:r>
        <w:rPr/>
        <w:t>W.;</w:t>
      </w:r>
      <w:r>
        <w:rPr>
          <w:spacing w:val="69"/>
        </w:rPr>
        <w:t> </w:t>
      </w:r>
      <w:r>
        <w:rPr/>
        <w:t>GREENSTEIN,</w:t>
      </w:r>
      <w:r>
        <w:rPr>
          <w:spacing w:val="68"/>
        </w:rPr>
        <w:t> </w:t>
      </w:r>
      <w:r>
        <w:rPr/>
        <w:t>D.;</w:t>
      </w:r>
      <w:r>
        <w:rPr>
          <w:spacing w:val="69"/>
        </w:rPr>
        <w:t> </w:t>
      </w:r>
      <w:r>
        <w:rPr/>
        <w:t>KRAUS,</w:t>
      </w:r>
      <w:r>
        <w:rPr>
          <w:spacing w:val="69"/>
        </w:rPr>
        <w:t> </w:t>
      </w:r>
      <w:r>
        <w:rPr>
          <w:spacing w:val="-5"/>
        </w:rPr>
        <w:t>C.;</w:t>
      </w:r>
    </w:p>
    <w:p>
      <w:pPr>
        <w:pStyle w:val="BodyText"/>
        <w:ind w:right="113"/>
      </w:pPr>
      <w:r>
        <w:rPr/>
        <w:t>KADRIU, B.; ZARATE,</w:t>
      </w:r>
      <w:r>
        <w:rPr>
          <w:spacing w:val="-8"/>
        </w:rPr>
        <w:t> </w:t>
      </w:r>
      <w:r>
        <w:rPr/>
        <w:t>C.</w:t>
      </w:r>
      <w:r>
        <w:rPr>
          <w:spacing w:val="-8"/>
        </w:rPr>
        <w:t> </w:t>
      </w:r>
      <w:r>
        <w:rPr/>
        <w:t>A.;</w:t>
      </w:r>
      <w:r>
        <w:rPr>
          <w:spacing w:val="-8"/>
        </w:rPr>
        <w:t> </w:t>
      </w:r>
      <w:r>
        <w:rPr/>
        <w:t>PARK,</w:t>
      </w:r>
      <w:r>
        <w:rPr>
          <w:spacing w:val="-8"/>
        </w:rPr>
        <w:t> </w:t>
      </w:r>
      <w:r>
        <w:rPr/>
        <w:t>L.</w:t>
      </w:r>
      <w:r>
        <w:rPr>
          <w:spacing w:val="-8"/>
        </w:rPr>
        <w:t> </w:t>
      </w:r>
      <w:r>
        <w:rPr/>
        <w:t>T.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effects associated with a single dose of ketamine in</w:t>
      </w:r>
      <w:r>
        <w:rPr>
          <w:spacing w:val="-3"/>
        </w:rPr>
        <w:t> </w:t>
      </w:r>
      <w:r>
        <w:rPr/>
        <w:t>treatment-resistant</w:t>
      </w:r>
      <w:r>
        <w:rPr>
          <w:spacing w:val="-3"/>
        </w:rPr>
        <w:t> </w:t>
      </w:r>
      <w:r>
        <w:rPr/>
        <w:t>depression.</w:t>
      </w:r>
      <w:r>
        <w:rPr>
          <w:spacing w:val="-3"/>
        </w:rPr>
        <w:t> </w:t>
      </w:r>
      <w:r>
        <w:rPr/>
        <w:t>Journal of Affective Disorders, v. 263, p. 568-575, 2020. Disponível em: https://doi.org/10.1016/j.jad.2019.11.028. Acesso em: 12 jul. 2023.</w:t>
      </w:r>
    </w:p>
    <w:p>
      <w:pPr>
        <w:pStyle w:val="BodyText"/>
        <w:ind w:left="0"/>
        <w:jc w:val="left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ANVISA.</w:t>
      </w:r>
      <w:r>
        <w:rPr>
          <w:spacing w:val="8"/>
          <w:sz w:val="22"/>
        </w:rPr>
        <w:t> </w:t>
      </w:r>
      <w:r>
        <w:rPr>
          <w:sz w:val="22"/>
        </w:rPr>
        <w:t>AGÊNCIA</w:t>
      </w:r>
      <w:r>
        <w:rPr>
          <w:spacing w:val="9"/>
          <w:sz w:val="22"/>
        </w:rPr>
        <w:t> </w:t>
      </w:r>
      <w:r>
        <w:rPr>
          <w:sz w:val="22"/>
        </w:rPr>
        <w:t>NACIONAL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VIGILÂNCIA</w:t>
      </w:r>
      <w:r>
        <w:rPr>
          <w:spacing w:val="9"/>
          <w:sz w:val="22"/>
        </w:rPr>
        <w:t> </w:t>
      </w:r>
      <w:r>
        <w:rPr>
          <w:sz w:val="22"/>
        </w:rPr>
        <w:t>SANITÁRIA.</w:t>
      </w:r>
      <w:r>
        <w:rPr>
          <w:spacing w:val="9"/>
          <w:sz w:val="22"/>
        </w:rPr>
        <w:t> </w:t>
      </w:r>
      <w:r>
        <w:rPr>
          <w:sz w:val="22"/>
        </w:rPr>
        <w:t>Resolução</w:t>
      </w:r>
      <w:r>
        <w:rPr>
          <w:spacing w:val="9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RDC</w:t>
      </w:r>
      <w:r>
        <w:rPr>
          <w:spacing w:val="-5"/>
          <w:sz w:val="22"/>
        </w:rPr>
        <w:t> </w:t>
      </w:r>
      <w:r>
        <w:rPr>
          <w:sz w:val="22"/>
        </w:rPr>
        <w:t>Nº</w:t>
      </w:r>
      <w:r>
        <w:rPr>
          <w:spacing w:val="-5"/>
          <w:sz w:val="22"/>
        </w:rPr>
        <w:t> </w:t>
      </w:r>
      <w:r>
        <w:rPr>
          <w:sz w:val="22"/>
        </w:rPr>
        <w:t>607,</w:t>
      </w:r>
      <w:r>
        <w:rPr>
          <w:spacing w:val="-5"/>
          <w:sz w:val="22"/>
        </w:rPr>
        <w:t> de</w:t>
      </w:r>
    </w:p>
    <w:p>
      <w:pPr>
        <w:tabs>
          <w:tab w:pos="1515" w:val="left" w:leader="none"/>
          <w:tab w:pos="2931" w:val="left" w:leader="none"/>
          <w:tab w:pos="4957" w:val="left" w:leader="none"/>
          <w:tab w:pos="6373" w:val="left" w:leader="none"/>
          <w:tab w:pos="8094" w:val="left" w:leader="none"/>
        </w:tabs>
        <w:spacing w:before="0"/>
        <w:ind w:left="100" w:right="117" w:firstLine="0"/>
        <w:jc w:val="left"/>
        <w:rPr>
          <w:sz w:val="22"/>
        </w:rPr>
      </w:pPr>
      <w:r>
        <w:rPr>
          <w:spacing w:val="-6"/>
          <w:sz w:val="22"/>
        </w:rPr>
        <w:t>23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fevereiro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2022.</w:t>
      </w:r>
      <w:r>
        <w:rPr>
          <w:sz w:val="22"/>
        </w:rPr>
        <w:tab/>
      </w:r>
      <w:r>
        <w:rPr>
          <w:spacing w:val="-2"/>
          <w:sz w:val="22"/>
        </w:rPr>
        <w:t>Disponível em:&lt;https://</w:t>
      </w:r>
      <w:hyperlink r:id="rId6">
        <w:r>
          <w:rPr>
            <w:spacing w:val="-2"/>
            <w:sz w:val="22"/>
          </w:rPr>
          <w:t>www.gov.br/anvisa/pt-br/assuntos/medicamentos/controlados/RDC607.pdf</w:t>
        </w:r>
      </w:hyperlink>
      <w:r>
        <w:rPr>
          <w:spacing w:val="-2"/>
          <w:sz w:val="22"/>
        </w:rPr>
        <w:t>&gt; </w:t>
      </w:r>
      <w:r>
        <w:rPr>
          <w:sz w:val="22"/>
        </w:rPr>
        <w:t>Acessado em: 12 de julho 2023.</w:t>
      </w:r>
    </w:p>
    <w:p>
      <w:pPr>
        <w:pStyle w:val="BodyText"/>
        <w:ind w:left="0"/>
        <w:jc w:val="left"/>
      </w:pPr>
    </w:p>
    <w:p>
      <w:pPr>
        <w:pStyle w:val="BodyText"/>
        <w:ind w:right="118"/>
      </w:pPr>
      <w:r>
        <w:rPr/>
        <w:t>BERMAN, R. M. et al. Antidepressant effects of ketamine in depressed </w:t>
      </w:r>
      <w:r>
        <w:rPr/>
        <w:t>patients. Biological Psychiatry, v. 47, n. 4, p. 351-354, 15 fev. 2000.</w:t>
      </w:r>
    </w:p>
    <w:p>
      <w:pPr>
        <w:pStyle w:val="BodyText"/>
        <w:ind w:left="0"/>
        <w:jc w:val="left"/>
      </w:pPr>
    </w:p>
    <w:p>
      <w:pPr>
        <w:pStyle w:val="BodyText"/>
        <w:ind w:right="113"/>
      </w:pPr>
      <w:r>
        <w:rPr/>
        <w:t>CARHART-HARRIS, R. L. et al. Psychedelics and the essential importance of context. Journal of Psychopharmacology, v. 32, n. 7, p. 725-731, 2018. </w:t>
      </w:r>
      <w:r>
        <w:rPr/>
        <w:t>DOI: </w:t>
      </w:r>
      <w:r>
        <w:rPr>
          <w:spacing w:val="-2"/>
        </w:rPr>
        <w:t>10.1177/0269881118754710.</w:t>
      </w:r>
    </w:p>
    <w:p>
      <w:pPr>
        <w:pStyle w:val="BodyText"/>
        <w:ind w:left="0"/>
        <w:jc w:val="left"/>
      </w:pPr>
    </w:p>
    <w:p>
      <w:pPr>
        <w:pStyle w:val="BodyText"/>
        <w:ind w:right="113"/>
      </w:pPr>
      <w:r>
        <w:rPr/>
        <w:t>CEBAN, F.; ROSENBLAT, J. D.; KRATIUK, K. et al. Prevention and Management of Common Adverse Effects of Ketamine and Esketamine in Patients with </w:t>
      </w:r>
      <w:r>
        <w:rPr/>
        <w:t>Mood Disorders.</w:t>
      </w:r>
      <w:r>
        <w:rPr>
          <w:spacing w:val="40"/>
        </w:rPr>
        <w:t> </w:t>
      </w:r>
      <w:r>
        <w:rPr/>
        <w:t>CNS</w:t>
      </w:r>
      <w:r>
        <w:rPr>
          <w:spacing w:val="40"/>
        </w:rPr>
        <w:t> </w:t>
      </w:r>
      <w:r>
        <w:rPr/>
        <w:t>Drugs,</w:t>
      </w:r>
      <w:r>
        <w:rPr>
          <w:spacing w:val="40"/>
        </w:rPr>
        <w:t> </w:t>
      </w:r>
      <w:r>
        <w:rPr/>
        <w:t>v.</w:t>
      </w:r>
      <w:r>
        <w:rPr>
          <w:spacing w:val="40"/>
        </w:rPr>
        <w:t> </w:t>
      </w:r>
      <w:r>
        <w:rPr/>
        <w:t>35,</w:t>
      </w:r>
      <w:r>
        <w:rPr>
          <w:spacing w:val="40"/>
        </w:rPr>
        <w:t> </w:t>
      </w:r>
      <w:r>
        <w:rPr/>
        <w:t>p.</w:t>
      </w:r>
      <w:r>
        <w:rPr>
          <w:spacing w:val="40"/>
        </w:rPr>
        <w:t> </w:t>
      </w:r>
      <w:r>
        <w:rPr/>
        <w:t>925-934,</w:t>
      </w:r>
      <w:r>
        <w:rPr>
          <w:spacing w:val="40"/>
        </w:rPr>
        <w:t> </w:t>
      </w:r>
      <w:r>
        <w:rPr/>
        <w:t>2021.</w:t>
      </w:r>
      <w:r>
        <w:rPr>
          <w:spacing w:val="40"/>
        </w:rPr>
        <w:t> </w:t>
      </w:r>
      <w:r>
        <w:rPr/>
        <w:t>DOI: </w:t>
      </w:r>
      <w:hyperlink r:id="rId7">
        <w:r>
          <w:rPr>
            <w:color w:val="1154CC"/>
            <w:spacing w:val="-2"/>
            <w:u w:val="single" w:color="1154CC"/>
            <w:shd w:fill="FBFBFB" w:color="auto" w:val="clear"/>
          </w:rPr>
          <w:t>https://doi.org/10.1007/s40263-021-00846-5</w:t>
        </w:r>
      </w:hyperlink>
      <w:r>
        <w:rPr>
          <w:color w:val="000000"/>
          <w:spacing w:val="-2"/>
          <w:shd w:fill="FBFBFB" w:color="auto" w:val="clear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tabs>
          <w:tab w:pos="1450" w:val="left" w:leader="none"/>
          <w:tab w:pos="2440" w:val="left" w:leader="none"/>
          <w:tab w:pos="3617" w:val="left" w:leader="none"/>
          <w:tab w:pos="4767" w:val="left" w:leader="none"/>
          <w:tab w:pos="6382" w:val="left" w:leader="none"/>
          <w:tab w:pos="7465" w:val="left" w:leader="none"/>
        </w:tabs>
        <w:ind w:right="115"/>
        <w:jc w:val="left"/>
      </w:pPr>
      <w:r>
        <w:rPr>
          <w:color w:val="000000"/>
          <w:shd w:fill="FBFBFB" w:color="auto" w:val="clear"/>
        </w:rPr>
        <w:t>DORE, Jennifer; TURNIPSEED, Brent; DWYER, Shannon; TURNIPSEED, </w:t>
      </w:r>
      <w:r>
        <w:rPr>
          <w:color w:val="000000"/>
          <w:shd w:fill="FBFBFB" w:color="auto" w:val="clear"/>
        </w:rPr>
        <w:t>Andrea;</w:t>
      </w:r>
      <w:r>
        <w:rPr>
          <w:color w:val="000000"/>
        </w:rPr>
        <w:t> </w:t>
      </w:r>
      <w:r>
        <w:rPr>
          <w:color w:val="000000"/>
          <w:spacing w:val="-2"/>
          <w:shd w:fill="FBFBFB" w:color="auto" w:val="clear"/>
        </w:rPr>
        <w:t>ANDRIES,</w:t>
      </w:r>
      <w:r>
        <w:rPr>
          <w:color w:val="000000"/>
          <w:shd w:fill="FBFBFB" w:color="auto" w:val="clear"/>
        </w:rPr>
        <w:tab/>
      </w:r>
      <w:r>
        <w:rPr>
          <w:color w:val="000000"/>
          <w:spacing w:val="-2"/>
          <w:shd w:fill="FBFBFB" w:color="auto" w:val="clear"/>
        </w:rPr>
        <w:t>Julane;</w:t>
      </w:r>
      <w:r>
        <w:rPr>
          <w:color w:val="000000"/>
          <w:shd w:fill="FBFBFB" w:color="auto" w:val="clear"/>
        </w:rPr>
        <w:tab/>
      </w:r>
      <w:r>
        <w:rPr>
          <w:color w:val="000000"/>
          <w:spacing w:val="-2"/>
          <w:shd w:fill="FBFBFB" w:color="auto" w:val="clear"/>
        </w:rPr>
        <w:t>ASCANI,</w:t>
      </w:r>
      <w:r>
        <w:rPr>
          <w:color w:val="000000"/>
          <w:shd w:fill="FBFBFB" w:color="auto" w:val="clear"/>
        </w:rPr>
        <w:tab/>
      </w:r>
      <w:r>
        <w:rPr>
          <w:color w:val="000000"/>
          <w:spacing w:val="-2"/>
          <w:shd w:fill="FBFBFB" w:color="auto" w:val="clear"/>
        </w:rPr>
        <w:t>German;</w:t>
      </w:r>
      <w:r>
        <w:rPr>
          <w:color w:val="000000"/>
          <w:shd w:fill="FBFBFB" w:color="auto" w:val="clear"/>
        </w:rPr>
        <w:tab/>
      </w:r>
      <w:r>
        <w:rPr>
          <w:color w:val="000000"/>
          <w:spacing w:val="-2"/>
          <w:shd w:fill="FBFBFB" w:color="auto" w:val="clear"/>
        </w:rPr>
        <w:t>MONNETTE,</w:t>
      </w:r>
      <w:r>
        <w:rPr>
          <w:color w:val="000000"/>
          <w:shd w:fill="FBFBFB" w:color="auto" w:val="clear"/>
        </w:rPr>
        <w:tab/>
      </w:r>
      <w:r>
        <w:rPr>
          <w:color w:val="000000"/>
          <w:spacing w:val="-2"/>
          <w:shd w:fill="FBFBFB" w:color="auto" w:val="clear"/>
        </w:rPr>
        <w:t>Celeste;</w:t>
      </w:r>
      <w:r>
        <w:rPr>
          <w:color w:val="000000"/>
          <w:shd w:fill="FBFBFB" w:color="auto" w:val="clear"/>
        </w:rPr>
        <w:tab/>
      </w:r>
      <w:r>
        <w:rPr>
          <w:color w:val="000000"/>
          <w:spacing w:val="-2"/>
          <w:shd w:fill="FBFBFB" w:color="auto" w:val="clear"/>
        </w:rPr>
        <w:t>HUIDEKOPER,</w:t>
      </w:r>
    </w:p>
    <w:p>
      <w:pPr>
        <w:pStyle w:val="BodyText"/>
        <w:ind w:right="113"/>
      </w:pPr>
      <w:r>
        <w:rPr>
          <w:color w:val="000000"/>
          <w:shd w:fill="FBFBFB" w:color="auto" w:val="clear"/>
        </w:rPr>
        <w:t>Angela; STRAUSS, Nicole; WOLFSON, Phil. Ketamine Assisted </w:t>
      </w:r>
      <w:r>
        <w:rPr>
          <w:color w:val="000000"/>
          <w:shd w:fill="FBFBFB" w:color="auto" w:val="clear"/>
        </w:rPr>
        <w:t>Psychotherapy</w:t>
      </w:r>
      <w:r>
        <w:rPr>
          <w:color w:val="000000"/>
        </w:rPr>
        <w:t> </w:t>
      </w:r>
      <w:r>
        <w:rPr>
          <w:color w:val="000000"/>
          <w:shd w:fill="FBFBFB" w:color="auto" w:val="clear"/>
        </w:rPr>
        <w:t>(KAP): Patient Demographics, Clinical Data and Outcomes</w:t>
      </w:r>
      <w:r>
        <w:rPr>
          <w:color w:val="000000"/>
          <w:spacing w:val="-3"/>
          <w:shd w:fill="FBFBFB" w:color="auto" w:val="clear"/>
        </w:rPr>
        <w:t> </w:t>
      </w:r>
      <w:r>
        <w:rPr>
          <w:color w:val="000000"/>
          <w:shd w:fill="FBFBFB" w:color="auto" w:val="clear"/>
        </w:rPr>
        <w:t>in</w:t>
      </w:r>
      <w:r>
        <w:rPr>
          <w:color w:val="000000"/>
          <w:spacing w:val="-3"/>
          <w:shd w:fill="FBFBFB" w:color="auto" w:val="clear"/>
        </w:rPr>
        <w:t> </w:t>
      </w:r>
      <w:r>
        <w:rPr>
          <w:color w:val="000000"/>
          <w:shd w:fill="FBFBFB" w:color="auto" w:val="clear"/>
        </w:rPr>
        <w:t>Three</w:t>
      </w:r>
      <w:r>
        <w:rPr>
          <w:color w:val="000000"/>
          <w:spacing w:val="-3"/>
          <w:shd w:fill="FBFBFB" w:color="auto" w:val="clear"/>
        </w:rPr>
        <w:t> </w:t>
      </w:r>
      <w:r>
        <w:rPr>
          <w:color w:val="000000"/>
          <w:shd w:fill="FBFBFB" w:color="auto" w:val="clear"/>
        </w:rPr>
        <w:t>Large</w:t>
      </w:r>
      <w:r>
        <w:rPr>
          <w:color w:val="000000"/>
          <w:spacing w:val="-3"/>
          <w:shd w:fill="FBFBFB" w:color="auto" w:val="clear"/>
        </w:rPr>
        <w:t> </w:t>
      </w:r>
      <w:r>
        <w:rPr>
          <w:color w:val="000000"/>
          <w:shd w:fill="FBFBFB" w:color="auto" w:val="clear"/>
        </w:rPr>
        <w:t>Practices</w:t>
      </w:r>
      <w:r>
        <w:rPr>
          <w:color w:val="000000"/>
        </w:rPr>
        <w:t> </w:t>
      </w:r>
      <w:r>
        <w:rPr>
          <w:color w:val="000000"/>
          <w:shd w:fill="FBFBFB" w:color="auto" w:val="clear"/>
        </w:rPr>
        <w:t>Administering Ketamine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with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Psychotherapy.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Journal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of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Psychoactive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Drugs,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v.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51,</w:t>
      </w:r>
      <w:r>
        <w:rPr>
          <w:color w:val="000000"/>
          <w:spacing w:val="-8"/>
          <w:shd w:fill="FBFBFB" w:color="auto" w:val="clear"/>
        </w:rPr>
        <w:t> </w:t>
      </w:r>
      <w:r>
        <w:rPr>
          <w:color w:val="000000"/>
          <w:shd w:fill="FBFBFB" w:color="auto" w:val="clear"/>
        </w:rPr>
        <w:t>n.</w:t>
      </w:r>
      <w:r>
        <w:rPr>
          <w:color w:val="000000"/>
        </w:rPr>
        <w:t> </w:t>
      </w:r>
      <w:r>
        <w:rPr>
          <w:color w:val="000000"/>
          <w:shd w:fill="FBFBFB" w:color="auto" w:val="clear"/>
        </w:rPr>
        <w:t>2, p. 189-198, 2019. DOI: 10.1080/02791072.2019.1587556.</w:t>
      </w:r>
    </w:p>
    <w:p>
      <w:pPr>
        <w:pStyle w:val="BodyText"/>
        <w:ind w:left="0"/>
        <w:jc w:val="left"/>
      </w:pPr>
    </w:p>
    <w:p>
      <w:pPr>
        <w:pStyle w:val="BodyText"/>
        <w:jc w:val="left"/>
      </w:pPr>
      <w:r>
        <w:rPr>
          <w:color w:val="000000"/>
          <w:shd w:fill="FBFBFB" w:color="auto" w:val="clear"/>
        </w:rPr>
        <w:t>DROZDZ,</w:t>
      </w:r>
      <w:r>
        <w:rPr>
          <w:color w:val="000000"/>
          <w:spacing w:val="23"/>
          <w:shd w:fill="FBFBFB" w:color="auto" w:val="clear"/>
        </w:rPr>
        <w:t> </w:t>
      </w:r>
      <w:r>
        <w:rPr>
          <w:color w:val="000000"/>
          <w:shd w:fill="FBFBFB" w:color="auto" w:val="clear"/>
        </w:rPr>
        <w:t>S.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J.;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GOEL,</w:t>
      </w:r>
      <w:r>
        <w:rPr>
          <w:color w:val="000000"/>
          <w:spacing w:val="10"/>
          <w:shd w:fill="FBFBFB" w:color="auto" w:val="clear"/>
        </w:rPr>
        <w:t> </w:t>
      </w:r>
      <w:r>
        <w:rPr>
          <w:color w:val="000000"/>
          <w:shd w:fill="FBFBFB" w:color="auto" w:val="clear"/>
        </w:rPr>
        <w:t>A.;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McGARR,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M.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W.;</w:t>
      </w:r>
      <w:r>
        <w:rPr>
          <w:color w:val="000000"/>
          <w:spacing w:val="10"/>
          <w:shd w:fill="FBFBFB" w:color="auto" w:val="clear"/>
        </w:rPr>
        <w:t> </w:t>
      </w:r>
      <w:r>
        <w:rPr>
          <w:color w:val="000000"/>
          <w:shd w:fill="FBFBFB" w:color="auto" w:val="clear"/>
        </w:rPr>
        <w:t>KATZ,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J.;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RITVO,</w:t>
      </w:r>
      <w:r>
        <w:rPr>
          <w:color w:val="000000"/>
          <w:spacing w:val="10"/>
          <w:shd w:fill="FBFBFB" w:color="auto" w:val="clear"/>
        </w:rPr>
        <w:t> </w:t>
      </w:r>
      <w:r>
        <w:rPr>
          <w:color w:val="000000"/>
          <w:shd w:fill="FBFBFB" w:color="auto" w:val="clear"/>
        </w:rPr>
        <w:t>P.;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MATTINA,</w:t>
      </w:r>
      <w:r>
        <w:rPr>
          <w:color w:val="000000"/>
          <w:spacing w:val="9"/>
          <w:shd w:fill="FBFBFB" w:color="auto" w:val="clear"/>
        </w:rPr>
        <w:t> </w:t>
      </w:r>
      <w:r>
        <w:rPr>
          <w:color w:val="000000"/>
          <w:shd w:fill="FBFBFB" w:color="auto" w:val="clear"/>
        </w:rPr>
        <w:t>G.</w:t>
      </w:r>
      <w:r>
        <w:rPr>
          <w:color w:val="000000"/>
          <w:spacing w:val="10"/>
          <w:shd w:fill="FBFBFB" w:color="auto" w:val="clear"/>
        </w:rPr>
        <w:t> </w:t>
      </w:r>
      <w:r>
        <w:rPr>
          <w:color w:val="000000"/>
          <w:spacing w:val="-5"/>
          <w:shd w:fill="FBFBFB" w:color="auto" w:val="clear"/>
        </w:rPr>
        <w:t>F.;</w:t>
      </w:r>
    </w:p>
    <w:p>
      <w:pPr>
        <w:pStyle w:val="BodyText"/>
        <w:ind w:right="113"/>
      </w:pPr>
      <w:r>
        <w:rPr>
          <w:color w:val="000000"/>
          <w:shd w:fill="FBFBFB" w:color="auto" w:val="clear"/>
        </w:rPr>
        <w:t>BHAT, V.; DIEP, C.; LADHA, K. S. Ketamine Assisted Psychotherapy: A </w:t>
      </w:r>
      <w:r>
        <w:rPr>
          <w:color w:val="000000"/>
          <w:shd w:fill="FBFBFB" w:color="auto" w:val="clear"/>
        </w:rPr>
        <w:t>Systematic</w:t>
      </w:r>
      <w:r>
        <w:rPr>
          <w:color w:val="000000"/>
        </w:rPr>
        <w:t> </w:t>
      </w:r>
      <w:r>
        <w:rPr>
          <w:color w:val="000000"/>
          <w:shd w:fill="FBFBFB" w:color="auto" w:val="clear"/>
        </w:rPr>
        <w:t>Narrative Review of the Literature. Journal of Pain Research, v. 15, p. 1691-1706,</w:t>
      </w:r>
      <w:r>
        <w:rPr>
          <w:color w:val="000000"/>
        </w:rPr>
        <w:t> </w:t>
      </w:r>
      <w:r>
        <w:rPr>
          <w:color w:val="000000"/>
          <w:shd w:fill="FBFBFB" w:color="auto" w:val="clear"/>
        </w:rPr>
        <w:t>2022. DOI: 10.2147/JPR.S360733.</w:t>
      </w:r>
    </w:p>
    <w:p>
      <w:pPr>
        <w:pStyle w:val="BodyText"/>
        <w:ind w:left="0"/>
        <w:jc w:val="left"/>
      </w:pPr>
    </w:p>
    <w:p>
      <w:pPr>
        <w:pStyle w:val="BodyText"/>
        <w:ind w:right="117"/>
      </w:pPr>
      <w:r>
        <w:rPr/>
        <w:t>EISNER, B. Set, setting, and matrix. J Psychoactive Drugs, v. 29, n. 2, p. </w:t>
      </w:r>
      <w:r>
        <w:rPr/>
        <w:t>213-6, abr./jun. 1997. DOI: 10.1080/02791072.1997.10400190.</w:t>
      </w:r>
    </w:p>
    <w:p>
      <w:pPr>
        <w:pStyle w:val="BodyText"/>
        <w:ind w:left="0"/>
        <w:jc w:val="left"/>
      </w:pPr>
    </w:p>
    <w:p>
      <w:pPr>
        <w:pStyle w:val="BodyText"/>
        <w:tabs>
          <w:tab w:pos="1488" w:val="left" w:leader="none"/>
          <w:tab w:pos="1876" w:val="left" w:leader="none"/>
          <w:tab w:pos="2331" w:val="left" w:leader="none"/>
          <w:tab w:pos="3760" w:val="left" w:leader="none"/>
          <w:tab w:pos="4215" w:val="left" w:leader="none"/>
          <w:tab w:pos="5337" w:val="left" w:leader="none"/>
        </w:tabs>
        <w:jc w:val="left"/>
      </w:pPr>
      <w:r>
        <w:rPr>
          <w:spacing w:val="-2"/>
        </w:rPr>
        <w:t>FUENTES,</w:t>
      </w:r>
      <w:r>
        <w:rPr/>
        <w:tab/>
      </w:r>
      <w:r>
        <w:rPr>
          <w:spacing w:val="-5"/>
        </w:rPr>
        <w:t>J.</w:t>
      </w:r>
      <w:r>
        <w:rPr/>
        <w:tab/>
      </w:r>
      <w:r>
        <w:rPr>
          <w:spacing w:val="-5"/>
        </w:rPr>
        <w:t>J.;</w:t>
      </w:r>
      <w:r>
        <w:rPr/>
        <w:tab/>
      </w:r>
      <w:r>
        <w:rPr>
          <w:spacing w:val="-2"/>
        </w:rPr>
        <w:t>FONSECA,</w:t>
      </w:r>
      <w:r>
        <w:rPr/>
        <w:tab/>
      </w:r>
      <w:r>
        <w:rPr>
          <w:spacing w:val="-5"/>
        </w:rPr>
        <w:t>F.;</w:t>
      </w:r>
      <w:r>
        <w:rPr/>
        <w:tab/>
      </w:r>
      <w:r>
        <w:rPr>
          <w:spacing w:val="-2"/>
        </w:rPr>
        <w:t>ELICES,</w:t>
      </w:r>
      <w:r>
        <w:rPr/>
        <w:tab/>
        <w:t>M.;</w:t>
      </w:r>
      <w:r>
        <w:rPr>
          <w:spacing w:val="23"/>
        </w:rPr>
        <w:t>  </w:t>
      </w:r>
      <w:r>
        <w:rPr/>
        <w:t>FARRÉ,</w:t>
      </w:r>
      <w:r>
        <w:rPr>
          <w:spacing w:val="24"/>
        </w:rPr>
        <w:t>  </w:t>
      </w:r>
      <w:r>
        <w:rPr/>
        <w:t>M.;</w:t>
      </w:r>
      <w:r>
        <w:rPr>
          <w:spacing w:val="24"/>
        </w:rPr>
        <w:t>  </w:t>
      </w:r>
      <w:r>
        <w:rPr/>
        <w:t>TORRENS,</w:t>
      </w:r>
      <w:r>
        <w:rPr>
          <w:spacing w:val="24"/>
        </w:rPr>
        <w:t>  </w:t>
      </w:r>
      <w:r>
        <w:rPr>
          <w:spacing w:val="-5"/>
        </w:rPr>
        <w:t>M.</w:t>
      </w:r>
    </w:p>
    <w:p>
      <w:pPr>
        <w:pStyle w:val="BodyText"/>
        <w:ind w:right="112"/>
      </w:pPr>
      <w:r>
        <w:rPr/>
        <w:t>Therapeutic</w:t>
      </w:r>
      <w:r>
        <w:rPr>
          <w:spacing w:val="80"/>
          <w:w w:val="150"/>
        </w:rPr>
        <w:t> </w:t>
      </w:r>
      <w:r>
        <w:rPr/>
        <w:t>Use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LSD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80"/>
          <w:w w:val="150"/>
        </w:rPr>
        <w:t> </w:t>
      </w:r>
      <w:r>
        <w:rPr/>
        <w:t>Psychiatry: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r>
        <w:rPr/>
        <w:t>Systematic</w:t>
      </w:r>
      <w:r>
        <w:rPr>
          <w:spacing w:val="80"/>
          <w:w w:val="150"/>
        </w:rPr>
        <w:t> </w:t>
      </w:r>
      <w:r>
        <w:rPr/>
        <w:t>Review</w:t>
      </w:r>
      <w:r>
        <w:rPr>
          <w:spacing w:val="80"/>
          <w:w w:val="150"/>
        </w:rPr>
        <w:t> </w:t>
      </w:r>
      <w:r>
        <w:rPr/>
        <w:t>of Randomized-Controlled Clinical Trials. Frontiers in Psychiatry, v. 10, 2020. </w:t>
      </w:r>
      <w:r>
        <w:rPr/>
        <w:t>DOI: </w:t>
      </w:r>
      <w:r>
        <w:rPr>
          <w:spacing w:val="-2"/>
        </w:rPr>
        <w:t>10.3389/fpsyt.2019.00943.</w:t>
      </w:r>
    </w:p>
    <w:p>
      <w:pPr>
        <w:pStyle w:val="BodyText"/>
        <w:ind w:left="0"/>
        <w:jc w:val="left"/>
      </w:pPr>
    </w:p>
    <w:p>
      <w:pPr>
        <w:pStyle w:val="BodyText"/>
        <w:tabs>
          <w:tab w:pos="5681" w:val="left" w:leader="none"/>
          <w:tab w:pos="8714" w:val="left" w:leader="none"/>
        </w:tabs>
        <w:ind w:right="115"/>
      </w:pPr>
      <w:r>
        <w:rPr/>
        <w:t>GARCIA-ROMEU, A.; RICHARDS, W. A. Current perspectives on psychedelic therapy: use of serotonergic hallucinogens in clinical interventions. International Review of Psychiatry, v. 30, n. 4, p. 291-316, ago. 2018. DOI: </w:t>
      </w:r>
      <w:r>
        <w:rPr>
          <w:spacing w:val="-2"/>
        </w:rPr>
        <w:t>10.1080/09540261.2018.1486289.</w:t>
      </w:r>
      <w:r>
        <w:rPr/>
        <w:tab/>
      </w:r>
      <w:r>
        <w:rPr>
          <w:spacing w:val="-2"/>
        </w:rPr>
        <w:t>Disponível</w:t>
      </w:r>
      <w:r>
        <w:rPr/>
        <w:tab/>
      </w:r>
      <w:r>
        <w:rPr>
          <w:spacing w:val="-5"/>
        </w:rPr>
        <w:t>em:</w:t>
      </w:r>
    </w:p>
    <w:p>
      <w:pPr>
        <w:pStyle w:val="BodyText"/>
        <w:jc w:val="left"/>
      </w:pPr>
      <w:r>
        <w:rPr>
          <w:spacing w:val="-2"/>
        </w:rPr>
        <w:t>https://pubmed.ncbi.nlm.nih.gov/30422079/.</w:t>
      </w:r>
    </w:p>
    <w:p>
      <w:pPr>
        <w:spacing w:after="0"/>
        <w:jc w:val="left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6"/>
        <w:ind w:right="124"/>
      </w:pPr>
      <w:r>
        <w:rPr/>
        <w:t>HARTOGSOHN, I. Constructing drug effects: A history of set and setting. </w:t>
      </w:r>
      <w:r>
        <w:rPr/>
        <w:t>Drug Science, Policy and Law, v. 3, 2017. DOI: 10.1177/2050324516683325.</w:t>
      </w:r>
    </w:p>
    <w:p>
      <w:pPr>
        <w:pStyle w:val="BodyText"/>
        <w:spacing w:before="11"/>
        <w:ind w:left="0"/>
        <w:jc w:val="left"/>
        <w:rPr>
          <w:sz w:val="35"/>
        </w:rPr>
      </w:pPr>
    </w:p>
    <w:p>
      <w:pPr>
        <w:pStyle w:val="BodyText"/>
      </w:pPr>
      <w:r>
        <w:rPr/>
        <w:t>KISHIMOTO,</w:t>
      </w:r>
      <w:r>
        <w:rPr>
          <w:spacing w:val="22"/>
        </w:rPr>
        <w:t> </w:t>
      </w:r>
      <w:r>
        <w:rPr/>
        <w:t>T.;</w:t>
      </w:r>
      <w:r>
        <w:rPr>
          <w:spacing w:val="25"/>
        </w:rPr>
        <w:t> </w:t>
      </w:r>
      <w:r>
        <w:rPr/>
        <w:t>CHAWLA,</w:t>
      </w:r>
      <w:r>
        <w:rPr>
          <w:spacing w:val="25"/>
        </w:rPr>
        <w:t> </w:t>
      </w:r>
      <w:r>
        <w:rPr/>
        <w:t>J.</w:t>
      </w:r>
      <w:r>
        <w:rPr>
          <w:spacing w:val="25"/>
        </w:rPr>
        <w:t> </w:t>
      </w:r>
      <w:r>
        <w:rPr/>
        <w:t>M.;</w:t>
      </w:r>
      <w:r>
        <w:rPr>
          <w:spacing w:val="25"/>
        </w:rPr>
        <w:t> </w:t>
      </w:r>
      <w:r>
        <w:rPr/>
        <w:t>HAGI,</w:t>
      </w:r>
      <w:r>
        <w:rPr>
          <w:spacing w:val="11"/>
        </w:rPr>
        <w:t> </w:t>
      </w:r>
      <w:r>
        <w:rPr/>
        <w:t>K.;</w:t>
      </w:r>
      <w:r>
        <w:rPr>
          <w:spacing w:val="11"/>
        </w:rPr>
        <w:t> </w:t>
      </w:r>
      <w:r>
        <w:rPr/>
        <w:t>ZARATE,</w:t>
      </w:r>
      <w:r>
        <w:rPr>
          <w:spacing w:val="11"/>
        </w:rPr>
        <w:t> </w:t>
      </w:r>
      <w:r>
        <w:rPr/>
        <w:t>C.</w:t>
      </w:r>
      <w:r>
        <w:rPr>
          <w:spacing w:val="10"/>
        </w:rPr>
        <w:t> </w:t>
      </w:r>
      <w:r>
        <w:rPr/>
        <w:t>A.;</w:t>
      </w:r>
      <w:r>
        <w:rPr>
          <w:spacing w:val="11"/>
        </w:rPr>
        <w:t> </w:t>
      </w:r>
      <w:r>
        <w:rPr/>
        <w:t>KANE,</w:t>
      </w:r>
      <w:r>
        <w:rPr>
          <w:spacing w:val="11"/>
        </w:rPr>
        <w:t> </w:t>
      </w:r>
      <w:r>
        <w:rPr/>
        <w:t>J.</w:t>
      </w:r>
      <w:r>
        <w:rPr>
          <w:spacing w:val="11"/>
        </w:rPr>
        <w:t> </w:t>
      </w:r>
      <w:r>
        <w:rPr/>
        <w:t>M.;</w:t>
      </w:r>
      <w:r>
        <w:rPr>
          <w:spacing w:val="11"/>
        </w:rPr>
        <w:t> </w:t>
      </w:r>
      <w:r>
        <w:rPr>
          <w:spacing w:val="-2"/>
        </w:rPr>
        <w:t>BAUER,</w:t>
      </w:r>
    </w:p>
    <w:p>
      <w:pPr>
        <w:pStyle w:val="BodyText"/>
        <w:ind w:right="115"/>
      </w:pPr>
      <w:r>
        <w:rPr/>
        <w:t>M.; et al. Single-dose infusion ketamine and non-ketamine </w:t>
      </w:r>
      <w:r>
        <w:rPr/>
        <w:t>N-methyl-d-aspartate receptor antagonists for unipolar and bipolar</w:t>
      </w:r>
      <w:r>
        <w:rPr>
          <w:spacing w:val="-5"/>
        </w:rPr>
        <w:t> </w:t>
      </w:r>
      <w:r>
        <w:rPr/>
        <w:t>depression: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meta-analysis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efficacy</w:t>
      </w:r>
      <w:r>
        <w:rPr/>
        <w:t>, safety and time trajectories. Psychol. Med., v. 46, p. 1459–1472, 2016. DOI: </w:t>
      </w:r>
      <w:r>
        <w:rPr>
          <w:spacing w:val="-2"/>
        </w:rPr>
        <w:t>10.1017/S0033291716000064.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tabs>
          <w:tab w:pos="1979" w:val="left" w:leader="none"/>
          <w:tab w:pos="6209" w:val="left" w:leader="none"/>
          <w:tab w:pos="8716" w:val="left" w:leader="none"/>
        </w:tabs>
        <w:ind w:right="113"/>
      </w:pPr>
      <w:r>
        <w:rPr/>
        <w:t>JONEBORG, I. et al. Active mechanisms of ketamine-assisted psychotherapy: A systematic review. Journal of Affective Disorders, v. 302, p. 105-112, 15 out. 2022. </w:t>
      </w:r>
      <w:r>
        <w:rPr>
          <w:spacing w:val="-4"/>
        </w:rPr>
        <w:t>DOI:</w:t>
      </w:r>
      <w:r>
        <w:rPr/>
        <w:tab/>
      </w:r>
      <w:r>
        <w:rPr>
          <w:spacing w:val="-2"/>
        </w:rPr>
        <w:t>10.1016/j.jad.2022.07.030.</w:t>
      </w:r>
      <w:r>
        <w:rPr/>
        <w:tab/>
      </w:r>
      <w:r>
        <w:rPr>
          <w:spacing w:val="-2"/>
        </w:rPr>
        <w:t>Disponível</w:t>
      </w:r>
      <w:r>
        <w:rPr/>
        <w:tab/>
      </w:r>
      <w:r>
        <w:rPr>
          <w:spacing w:val="-4"/>
        </w:rPr>
        <w:t>em: </w:t>
      </w:r>
      <w:hyperlink r:id="rId8">
        <w:r>
          <w:rPr/>
          <w:t>https://www.sciencedirect.com/science/article/abs/pii/S0165032722007984.</w:t>
        </w:r>
      </w:hyperlink>
      <w:r>
        <w:rPr/>
        <w:t> </w:t>
      </w:r>
      <w:r>
        <w:rPr/>
        <w:t>Acesso em: 3 jul. 2023.</w:t>
      </w:r>
    </w:p>
    <w:p>
      <w:pPr>
        <w:pStyle w:val="BodyText"/>
        <w:ind w:left="0"/>
        <w:jc w:val="left"/>
      </w:pPr>
    </w:p>
    <w:p>
      <w:pPr>
        <w:pStyle w:val="BodyText"/>
        <w:tabs>
          <w:tab w:pos="1160" w:val="left" w:leader="none"/>
          <w:tab w:pos="2087" w:val="left" w:leader="none"/>
          <w:tab w:pos="2998" w:val="left" w:leader="none"/>
          <w:tab w:pos="3910" w:val="left" w:leader="none"/>
          <w:tab w:pos="5569" w:val="left" w:leader="none"/>
          <w:tab w:pos="6882" w:val="left" w:leader="none"/>
          <w:tab w:pos="8714" w:val="left" w:leader="none"/>
        </w:tabs>
        <w:ind w:right="117"/>
      </w:pPr>
      <w:r>
        <w:rPr/>
        <w:t>KRUPITSKY, E. M.; GRINENKO, A. Y. Ketamine Psychedelic Therapy (KPT): </w:t>
      </w:r>
      <w:r>
        <w:rPr/>
        <w:t>A Review of the Results of Ten Years of Research. Journal of Psychoactive Drugs, v. </w:t>
      </w:r>
      <w:r>
        <w:rPr>
          <w:spacing w:val="-4"/>
        </w:rPr>
        <w:t>29,</w:t>
      </w:r>
      <w:r>
        <w:rPr/>
        <w:tab/>
      </w:r>
      <w:r>
        <w:rPr>
          <w:spacing w:val="-6"/>
        </w:rPr>
        <w:t>n.</w:t>
      </w:r>
      <w:r>
        <w:rPr/>
        <w:tab/>
      </w:r>
      <w:r>
        <w:rPr>
          <w:spacing w:val="-6"/>
        </w:rPr>
        <w:t>2,</w:t>
      </w:r>
      <w:r>
        <w:rPr/>
        <w:tab/>
      </w:r>
      <w:r>
        <w:rPr>
          <w:spacing w:val="-6"/>
        </w:rPr>
        <w:t>p.</w:t>
      </w:r>
      <w:r>
        <w:rPr/>
        <w:tab/>
      </w:r>
      <w:r>
        <w:rPr>
          <w:spacing w:val="-2"/>
        </w:rPr>
        <w:t>165-183,</w:t>
      </w:r>
      <w:r>
        <w:rPr/>
        <w:tab/>
      </w:r>
      <w:r>
        <w:rPr>
          <w:spacing w:val="-2"/>
        </w:rPr>
        <w:t>1997.</w:t>
      </w:r>
      <w:r>
        <w:rPr/>
        <w:tab/>
      </w:r>
      <w:r>
        <w:rPr>
          <w:spacing w:val="-2"/>
        </w:rPr>
        <w:t>Disponível</w:t>
      </w:r>
      <w:r>
        <w:rPr/>
        <w:tab/>
      </w:r>
      <w:r>
        <w:rPr>
          <w:spacing w:val="-4"/>
        </w:rPr>
        <w:t>em: </w:t>
      </w:r>
      <w:hyperlink r:id="rId9">
        <w:r>
          <w:rPr>
            <w:spacing w:val="-2"/>
          </w:rPr>
          <w:t>https://www.tandfonline.com/doi/abs/10.1080/02791072.1997.10400185.</w:t>
        </w:r>
      </w:hyperlink>
    </w:p>
    <w:p>
      <w:pPr>
        <w:pStyle w:val="BodyText"/>
        <w:ind w:left="0"/>
        <w:jc w:val="left"/>
      </w:pPr>
    </w:p>
    <w:p>
      <w:pPr>
        <w:pStyle w:val="BodyText"/>
        <w:ind w:right="116"/>
      </w:pPr>
      <w:r>
        <w:rPr/>
        <w:t>LEARY, T.; LITWIN, G. H.; METZNER, R. Reactions to psilocybin administered in </w:t>
      </w:r>
      <w:r>
        <w:rPr/>
        <w:t>a supportive</w:t>
      </w:r>
      <w:r>
        <w:rPr>
          <w:spacing w:val="40"/>
        </w:rPr>
        <w:t> </w:t>
      </w:r>
      <w:r>
        <w:rPr/>
        <w:t>environment. Journal of Nervous and Mental Disease, v. 137, n. 6, p. 561-573, dez. 1963. DOI: 10.1097/00005053-196312000-00007.</w:t>
      </w:r>
    </w:p>
    <w:p>
      <w:pPr>
        <w:pStyle w:val="BodyText"/>
        <w:ind w:left="0"/>
        <w:jc w:val="left"/>
      </w:pPr>
    </w:p>
    <w:p>
      <w:pPr>
        <w:pStyle w:val="BodyText"/>
      </w:pPr>
      <w:r>
        <w:rPr>
          <w:color w:val="282828"/>
        </w:rPr>
        <w:t>LEE,</w:t>
      </w:r>
      <w:r>
        <w:rPr>
          <w:color w:val="282828"/>
          <w:spacing w:val="36"/>
        </w:rPr>
        <w:t> </w:t>
      </w:r>
      <w:r>
        <w:rPr>
          <w:color w:val="282828"/>
        </w:rPr>
        <w:t>E.</w:t>
      </w:r>
      <w:r>
        <w:rPr>
          <w:color w:val="282828"/>
          <w:spacing w:val="39"/>
        </w:rPr>
        <w:t> </w:t>
      </w:r>
      <w:r>
        <w:rPr>
          <w:color w:val="282828"/>
        </w:rPr>
        <w:t>E.;</w:t>
      </w:r>
      <w:r>
        <w:rPr>
          <w:color w:val="282828"/>
          <w:spacing w:val="39"/>
        </w:rPr>
        <w:t> </w:t>
      </w:r>
      <w:r>
        <w:rPr>
          <w:color w:val="282828"/>
        </w:rPr>
        <w:t>DELLA</w:t>
      </w:r>
      <w:r>
        <w:rPr>
          <w:color w:val="282828"/>
          <w:spacing w:val="39"/>
        </w:rPr>
        <w:t> </w:t>
      </w:r>
      <w:r>
        <w:rPr>
          <w:color w:val="282828"/>
        </w:rPr>
        <w:t>SELVA,</w:t>
      </w:r>
      <w:r>
        <w:rPr>
          <w:color w:val="282828"/>
          <w:spacing w:val="39"/>
        </w:rPr>
        <w:t> </w:t>
      </w:r>
      <w:r>
        <w:rPr>
          <w:color w:val="282828"/>
        </w:rPr>
        <w:t>M.</w:t>
      </w:r>
      <w:r>
        <w:rPr>
          <w:color w:val="282828"/>
          <w:spacing w:val="39"/>
        </w:rPr>
        <w:t> </w:t>
      </w:r>
      <w:r>
        <w:rPr>
          <w:color w:val="282828"/>
        </w:rPr>
        <w:t>P.;</w:t>
      </w:r>
      <w:r>
        <w:rPr>
          <w:color w:val="282828"/>
          <w:spacing w:val="25"/>
        </w:rPr>
        <w:t> </w:t>
      </w:r>
      <w:r>
        <w:rPr>
          <w:color w:val="282828"/>
        </w:rPr>
        <w:t>LIU,</w:t>
      </w:r>
      <w:r>
        <w:rPr>
          <w:color w:val="282828"/>
          <w:spacing w:val="26"/>
        </w:rPr>
        <w:t> </w:t>
      </w:r>
      <w:r>
        <w:rPr>
          <w:color w:val="282828"/>
        </w:rPr>
        <w:t>A.;</w:t>
      </w:r>
      <w:r>
        <w:rPr>
          <w:color w:val="282828"/>
          <w:spacing w:val="25"/>
        </w:rPr>
        <w:t> </w:t>
      </w:r>
      <w:r>
        <w:rPr>
          <w:color w:val="282828"/>
        </w:rPr>
        <w:t>HIMELHOCH,</w:t>
      </w:r>
      <w:r>
        <w:rPr>
          <w:color w:val="282828"/>
          <w:spacing w:val="26"/>
        </w:rPr>
        <w:t> </w:t>
      </w:r>
      <w:r>
        <w:rPr>
          <w:color w:val="282828"/>
        </w:rPr>
        <w:t>S.</w:t>
      </w:r>
      <w:r>
        <w:rPr>
          <w:color w:val="282828"/>
          <w:spacing w:val="25"/>
        </w:rPr>
        <w:t> </w:t>
      </w:r>
      <w:r>
        <w:rPr>
          <w:color w:val="282828"/>
        </w:rPr>
        <w:t>Ketamine</w:t>
      </w:r>
      <w:r>
        <w:rPr>
          <w:color w:val="282828"/>
          <w:spacing w:val="26"/>
        </w:rPr>
        <w:t> </w:t>
      </w:r>
      <w:r>
        <w:rPr>
          <w:color w:val="282828"/>
        </w:rPr>
        <w:t>as</w:t>
      </w:r>
      <w:r>
        <w:rPr>
          <w:color w:val="282828"/>
          <w:spacing w:val="25"/>
        </w:rPr>
        <w:t> </w:t>
      </w:r>
      <w:r>
        <w:rPr>
          <w:color w:val="282828"/>
        </w:rPr>
        <w:t>a</w:t>
      </w:r>
      <w:r>
        <w:rPr>
          <w:color w:val="282828"/>
          <w:spacing w:val="26"/>
        </w:rPr>
        <w:t> </w:t>
      </w:r>
      <w:r>
        <w:rPr>
          <w:color w:val="282828"/>
          <w:spacing w:val="-2"/>
        </w:rPr>
        <w:t>novel</w:t>
      </w:r>
    </w:p>
    <w:p>
      <w:pPr>
        <w:pStyle w:val="BodyText"/>
        <w:ind w:right="122"/>
      </w:pPr>
      <w:r>
        <w:rPr>
          <w:color w:val="282828"/>
        </w:rPr>
        <w:t>treatment for major depressive disorder and bipolar depression:</w:t>
      </w:r>
      <w:r>
        <w:rPr>
          <w:color w:val="282828"/>
          <w:spacing w:val="-4"/>
        </w:rPr>
        <w:t> </w:t>
      </w:r>
      <w:r>
        <w:rPr>
          <w:color w:val="282828"/>
        </w:rPr>
        <w:t>a</w:t>
      </w:r>
      <w:r>
        <w:rPr>
          <w:color w:val="282828"/>
          <w:spacing w:val="-4"/>
        </w:rPr>
        <w:t> </w:t>
      </w:r>
      <w:r>
        <w:rPr>
          <w:color w:val="282828"/>
        </w:rPr>
        <w:t>systematic</w:t>
      </w:r>
      <w:r>
        <w:rPr>
          <w:color w:val="282828"/>
          <w:spacing w:val="-4"/>
        </w:rPr>
        <w:t> </w:t>
      </w:r>
      <w:r>
        <w:rPr>
          <w:color w:val="282828"/>
        </w:rPr>
        <w:t>review and quantitative meta-analysis. Gen. Hosp.</w:t>
      </w:r>
      <w:r>
        <w:rPr>
          <w:color w:val="282828"/>
          <w:spacing w:val="-7"/>
        </w:rPr>
        <w:t> </w:t>
      </w:r>
      <w:r>
        <w:rPr>
          <w:color w:val="282828"/>
        </w:rPr>
        <w:t>Psychiatry,</w:t>
      </w:r>
      <w:r>
        <w:rPr>
          <w:color w:val="282828"/>
          <w:spacing w:val="-7"/>
        </w:rPr>
        <w:t> </w:t>
      </w:r>
      <w:r>
        <w:rPr>
          <w:color w:val="282828"/>
        </w:rPr>
        <w:t>v.</w:t>
      </w:r>
      <w:r>
        <w:rPr>
          <w:color w:val="282828"/>
          <w:spacing w:val="-7"/>
        </w:rPr>
        <w:t> </w:t>
      </w:r>
      <w:r>
        <w:rPr>
          <w:color w:val="282828"/>
        </w:rPr>
        <w:t>37,</w:t>
      </w:r>
      <w:r>
        <w:rPr>
          <w:color w:val="282828"/>
          <w:spacing w:val="-7"/>
        </w:rPr>
        <w:t> </w:t>
      </w:r>
      <w:r>
        <w:rPr>
          <w:color w:val="282828"/>
        </w:rPr>
        <w:t>p.</w:t>
      </w:r>
      <w:r>
        <w:rPr>
          <w:color w:val="282828"/>
          <w:spacing w:val="-7"/>
        </w:rPr>
        <w:t> </w:t>
      </w:r>
      <w:r>
        <w:rPr>
          <w:color w:val="282828"/>
        </w:rPr>
        <w:t>178-184,</w:t>
      </w:r>
      <w:r>
        <w:rPr>
          <w:color w:val="282828"/>
          <w:spacing w:val="-7"/>
        </w:rPr>
        <w:t> </w:t>
      </w:r>
      <w:r>
        <w:rPr>
          <w:color w:val="282828"/>
        </w:rPr>
        <w:t>2015.</w:t>
      </w:r>
      <w:r>
        <w:rPr>
          <w:color w:val="282828"/>
          <w:spacing w:val="-7"/>
        </w:rPr>
        <w:t> </w:t>
      </w:r>
      <w:r>
        <w:rPr>
          <w:color w:val="282828"/>
        </w:rPr>
        <w:t>DOI: </w:t>
      </w:r>
      <w:r>
        <w:rPr>
          <w:color w:val="282828"/>
          <w:spacing w:val="-2"/>
        </w:rPr>
        <w:t>10.1016/j.genhosppsych.2015.01.003.</w:t>
      </w:r>
    </w:p>
    <w:p>
      <w:pPr>
        <w:pStyle w:val="BodyText"/>
        <w:ind w:left="0"/>
        <w:jc w:val="left"/>
      </w:pPr>
    </w:p>
    <w:p>
      <w:pPr>
        <w:pStyle w:val="BodyText"/>
        <w:ind w:right="121"/>
      </w:pPr>
      <w:r>
        <w:rPr/>
        <w:t>Li, D., &amp; Mashour, G. A. (2019). Cortical dynamics during psychedelic and anesthetized</w:t>
      </w:r>
      <w:r>
        <w:rPr>
          <w:spacing w:val="30"/>
        </w:rPr>
        <w:t> </w:t>
      </w:r>
      <w:r>
        <w:rPr/>
        <w:t>states</w:t>
      </w:r>
      <w:r>
        <w:rPr>
          <w:spacing w:val="30"/>
        </w:rPr>
        <w:t> </w:t>
      </w:r>
      <w:r>
        <w:rPr/>
        <w:t>induced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ketamine.</w:t>
      </w:r>
      <w:r>
        <w:rPr>
          <w:spacing w:val="30"/>
        </w:rPr>
        <w:t> </w:t>
      </w:r>
      <w:r>
        <w:rPr/>
        <w:t>NeuroImage,</w:t>
      </w:r>
      <w:r>
        <w:rPr>
          <w:spacing w:val="30"/>
        </w:rPr>
        <w:t> </w:t>
      </w:r>
      <w:r>
        <w:rPr/>
        <w:t>196,</w:t>
      </w:r>
      <w:r>
        <w:rPr>
          <w:spacing w:val="15"/>
        </w:rPr>
        <w:t> </w:t>
      </w:r>
      <w:r>
        <w:rPr/>
        <w:t>32-40.</w:t>
      </w:r>
      <w:r>
        <w:rPr>
          <w:spacing w:val="15"/>
        </w:rPr>
        <w:t> </w:t>
      </w:r>
      <w:r>
        <w:rPr/>
        <w:t>Disponível</w:t>
      </w:r>
      <w:r>
        <w:rPr>
          <w:spacing w:val="15"/>
        </w:rPr>
        <w:t> </w:t>
      </w:r>
      <w:r>
        <w:rPr>
          <w:spacing w:val="-5"/>
        </w:rPr>
        <w:t>em:</w:t>
      </w:r>
    </w:p>
    <w:p>
      <w:pPr>
        <w:pStyle w:val="BodyText"/>
      </w:pPr>
      <w:r>
        <w:rPr/>
        <w:t>&lt;https://doi.org/10.1016/j.neuroimage.2019.03.076&gt;. Acesso em: 12 jul. </w:t>
      </w:r>
      <w:r>
        <w:rPr>
          <w:spacing w:val="-2"/>
        </w:rPr>
        <w:t>2023.</w:t>
      </w:r>
    </w:p>
    <w:p>
      <w:pPr>
        <w:pStyle w:val="BodyText"/>
        <w:ind w:left="0"/>
        <w:jc w:val="left"/>
      </w:pPr>
    </w:p>
    <w:p>
      <w:pPr>
        <w:pStyle w:val="BodyText"/>
        <w:ind w:right="114"/>
      </w:pPr>
      <w:r>
        <w:rPr/>
        <w:t>LI, N.-X.; HU, Y.-R.; CHEN, W.-N.; ZHANG, B. Dose effect of psilocybin on </w:t>
      </w:r>
      <w:r>
        <w:rPr/>
        <w:t>primary and secondary depression: a preliminary systematic review and meta-analysis. Journal of Affective Disorders, v. 296, p. 26-34, 2022. Disponível em: </w:t>
      </w:r>
      <w:r>
        <w:rPr>
          <w:spacing w:val="-2"/>
        </w:rPr>
        <w:t>https://doi.org/10.1016/j.jad.2021.09.041.</w:t>
      </w:r>
    </w:p>
    <w:p>
      <w:pPr>
        <w:pStyle w:val="BodyText"/>
        <w:ind w:left="0"/>
        <w:jc w:val="left"/>
      </w:pPr>
    </w:p>
    <w:p>
      <w:pPr>
        <w:pStyle w:val="BodyText"/>
        <w:ind w:right="116"/>
      </w:pPr>
      <w:r>
        <w:rPr/>
        <w:t>MASHOUR, G. A. Ketamine Analgesia and Psychedelia: Can We </w:t>
      </w:r>
      <w:r>
        <w:rPr/>
        <w:t>Dissociate Dissociation? Anesthesiology, v. 136, n. 4, p. 675-677, 2022. DOI: </w:t>
      </w:r>
      <w:r>
        <w:rPr>
          <w:spacing w:val="-2"/>
        </w:rPr>
        <w:t>https://doi.org/10.1097/ALN.0000000000004172.</w:t>
      </w:r>
    </w:p>
    <w:p>
      <w:pPr>
        <w:pStyle w:val="BodyText"/>
        <w:ind w:left="0"/>
        <w:jc w:val="left"/>
      </w:pPr>
    </w:p>
    <w:p>
      <w:pPr>
        <w:pStyle w:val="BodyText"/>
      </w:pPr>
      <w:r>
        <w:rPr/>
        <w:t>MENDES,</w:t>
      </w:r>
      <w:r>
        <w:rPr>
          <w:spacing w:val="61"/>
          <w:w w:val="150"/>
        </w:rPr>
        <w:t> </w:t>
      </w:r>
      <w:r>
        <w:rPr/>
        <w:t>F.</w:t>
      </w:r>
      <w:r>
        <w:rPr>
          <w:spacing w:val="62"/>
          <w:w w:val="150"/>
        </w:rPr>
        <w:t> </w:t>
      </w:r>
      <w:r>
        <w:rPr/>
        <w:t>R.;</w:t>
      </w:r>
      <w:r>
        <w:rPr>
          <w:spacing w:val="62"/>
          <w:w w:val="150"/>
        </w:rPr>
        <w:t> </w:t>
      </w:r>
      <w:r>
        <w:rPr/>
        <w:t>COSTA,</w:t>
      </w:r>
      <w:r>
        <w:rPr>
          <w:spacing w:val="61"/>
          <w:w w:val="150"/>
        </w:rPr>
        <w:t> </w:t>
      </w:r>
      <w:r>
        <w:rPr/>
        <w:t>C.</w:t>
      </w:r>
      <w:r>
        <w:rPr>
          <w:spacing w:val="62"/>
          <w:w w:val="150"/>
        </w:rPr>
        <w:t> </w:t>
      </w:r>
      <w:r>
        <w:rPr/>
        <w:t>S.;</w:t>
      </w:r>
      <w:r>
        <w:rPr>
          <w:spacing w:val="62"/>
          <w:w w:val="150"/>
        </w:rPr>
        <w:t> </w:t>
      </w:r>
      <w:r>
        <w:rPr/>
        <w:t>WILTENBURG,</w:t>
      </w:r>
      <w:r>
        <w:rPr>
          <w:spacing w:val="48"/>
          <w:w w:val="150"/>
        </w:rPr>
        <w:t> </w:t>
      </w:r>
      <w:r>
        <w:rPr/>
        <w:t>V.</w:t>
      </w:r>
      <w:r>
        <w:rPr>
          <w:spacing w:val="47"/>
          <w:w w:val="150"/>
        </w:rPr>
        <w:t> </w:t>
      </w:r>
      <w:r>
        <w:rPr/>
        <w:t>D.;</w:t>
      </w:r>
      <w:r>
        <w:rPr>
          <w:spacing w:val="48"/>
          <w:w w:val="150"/>
        </w:rPr>
        <w:t> </w:t>
      </w:r>
      <w:r>
        <w:rPr/>
        <w:t>MORALES-LIMA,</w:t>
      </w:r>
      <w:r>
        <w:rPr>
          <w:spacing w:val="47"/>
          <w:w w:val="150"/>
        </w:rPr>
        <w:t> </w:t>
      </w:r>
      <w:r>
        <w:rPr>
          <w:spacing w:val="-5"/>
        </w:rPr>
        <w:t>G.;</w:t>
      </w:r>
    </w:p>
    <w:p>
      <w:pPr>
        <w:pStyle w:val="BodyText"/>
        <w:ind w:right="117"/>
      </w:pPr>
      <w:r>
        <w:rPr/>
        <w:t>FERNANDES, J. A. B.; FILEV, R. Classic and non‐classic psychedelics </w:t>
      </w:r>
      <w:r>
        <w:rPr/>
        <w:t>for substance use disorder: A review of their historic, past and current research. Addiction Neuroscience, v. 3, 2022. Disponível em: </w:t>
      </w:r>
      <w:r>
        <w:rPr>
          <w:spacing w:val="-2"/>
        </w:rPr>
        <w:t>https://doi.org/10.1016/j.addicn.2022.100025.</w:t>
      </w:r>
    </w:p>
    <w:p>
      <w:pPr>
        <w:spacing w:after="0"/>
        <w:sectPr>
          <w:pgSz w:w="11920" w:h="16840"/>
          <w:pgMar w:top="1640" w:bottom="280" w:left="1340" w:right="1340"/>
        </w:sectPr>
      </w:pPr>
    </w:p>
    <w:p>
      <w:pPr>
        <w:pStyle w:val="BodyText"/>
        <w:spacing w:before="80"/>
      </w:pPr>
      <w:r>
        <w:rPr>
          <w:color w:val="282828"/>
        </w:rPr>
        <w:t>Niciu,</w:t>
      </w:r>
      <w:r>
        <w:rPr>
          <w:color w:val="282828"/>
          <w:spacing w:val="13"/>
        </w:rPr>
        <w:t> </w:t>
      </w:r>
      <w:r>
        <w:rPr>
          <w:color w:val="282828"/>
        </w:rPr>
        <w:t>M.</w:t>
      </w:r>
      <w:r>
        <w:rPr>
          <w:color w:val="282828"/>
          <w:spacing w:val="14"/>
        </w:rPr>
        <w:t> </w:t>
      </w:r>
      <w:r>
        <w:rPr>
          <w:color w:val="282828"/>
        </w:rPr>
        <w:t>J.,</w:t>
      </w:r>
      <w:r>
        <w:rPr>
          <w:color w:val="282828"/>
          <w:spacing w:val="14"/>
        </w:rPr>
        <w:t> </w:t>
      </w:r>
      <w:r>
        <w:rPr>
          <w:color w:val="282828"/>
        </w:rPr>
        <w:t>Shovestul,</w:t>
      </w:r>
      <w:r>
        <w:rPr>
          <w:color w:val="282828"/>
          <w:spacing w:val="14"/>
        </w:rPr>
        <w:t> </w:t>
      </w:r>
      <w:r>
        <w:rPr>
          <w:color w:val="282828"/>
        </w:rPr>
        <w:t>B.</w:t>
      </w:r>
      <w:r>
        <w:rPr>
          <w:color w:val="282828"/>
          <w:spacing w:val="14"/>
        </w:rPr>
        <w:t> </w:t>
      </w:r>
      <w:r>
        <w:rPr>
          <w:color w:val="282828"/>
        </w:rPr>
        <w:t>J.,</w:t>
      </w:r>
      <w:r>
        <w:rPr>
          <w:color w:val="282828"/>
          <w:spacing w:val="-1"/>
        </w:rPr>
        <w:t> </w:t>
      </w:r>
      <w:r>
        <w:rPr>
          <w:color w:val="282828"/>
        </w:rPr>
        <w:t>Jaso,</w:t>
      </w:r>
      <w:r>
        <w:rPr>
          <w:color w:val="282828"/>
          <w:spacing w:val="-1"/>
        </w:rPr>
        <w:t> </w:t>
      </w:r>
      <w:r>
        <w:rPr>
          <w:color w:val="282828"/>
        </w:rPr>
        <w:t>B.</w:t>
      </w:r>
      <w:r>
        <w:rPr>
          <w:color w:val="282828"/>
          <w:spacing w:val="-1"/>
        </w:rPr>
        <w:t> </w:t>
      </w:r>
      <w:r>
        <w:rPr>
          <w:color w:val="282828"/>
        </w:rPr>
        <w:t>A.,</w:t>
      </w:r>
      <w:r>
        <w:rPr>
          <w:color w:val="282828"/>
          <w:spacing w:val="-1"/>
        </w:rPr>
        <w:t> </w:t>
      </w:r>
      <w:r>
        <w:rPr>
          <w:color w:val="282828"/>
        </w:rPr>
        <w:t>Farmer,</w:t>
      </w:r>
      <w:r>
        <w:rPr>
          <w:color w:val="282828"/>
          <w:spacing w:val="-1"/>
        </w:rPr>
        <w:t> </w:t>
      </w:r>
      <w:r>
        <w:rPr>
          <w:color w:val="282828"/>
        </w:rPr>
        <w:t>C.,</w:t>
      </w:r>
      <w:r>
        <w:rPr>
          <w:color w:val="282828"/>
          <w:spacing w:val="-1"/>
        </w:rPr>
        <w:t> </w:t>
      </w:r>
      <w:r>
        <w:rPr>
          <w:color w:val="282828"/>
        </w:rPr>
        <w:t>Luckenbaugh,</w:t>
      </w:r>
      <w:r>
        <w:rPr>
          <w:color w:val="282828"/>
          <w:spacing w:val="-1"/>
        </w:rPr>
        <w:t> </w:t>
      </w:r>
      <w:r>
        <w:rPr>
          <w:color w:val="282828"/>
        </w:rPr>
        <w:t>D.</w:t>
      </w:r>
      <w:r>
        <w:rPr>
          <w:color w:val="282828"/>
          <w:spacing w:val="-1"/>
        </w:rPr>
        <w:t> </w:t>
      </w:r>
      <w:r>
        <w:rPr>
          <w:color w:val="282828"/>
        </w:rPr>
        <w:t>A., </w:t>
      </w:r>
      <w:r>
        <w:rPr>
          <w:color w:val="282828"/>
          <w:spacing w:val="-2"/>
        </w:rPr>
        <w:t>Brutsche,</w:t>
      </w:r>
    </w:p>
    <w:p>
      <w:pPr>
        <w:pStyle w:val="BodyText"/>
        <w:tabs>
          <w:tab w:pos="8719" w:val="left" w:leader="none"/>
        </w:tabs>
        <w:ind w:right="118"/>
      </w:pPr>
      <w:r>
        <w:rPr>
          <w:color w:val="282828"/>
        </w:rPr>
        <w:t>N. E., Park, L. T., Ballard, E. D., &amp; Zarate, C. A. (2018). Features of dissociation differentially predict antidepressant response to ketamine in </w:t>
      </w:r>
      <w:r>
        <w:rPr>
          <w:color w:val="282828"/>
        </w:rPr>
        <w:t>treatment-resistant depression. Journal of Affective Disorders, 232, 310-315. ISSN 0165-0327. doi: </w:t>
      </w:r>
      <w:r>
        <w:rPr>
          <w:color w:val="282828"/>
          <w:spacing w:val="-2"/>
        </w:rPr>
        <w:t>10.1016/j.jad.2018.02.049.</w:t>
      </w:r>
      <w:r>
        <w:rPr>
          <w:spacing w:val="-2"/>
        </w:rPr>
        <w:t>Disponível</w:t>
      </w:r>
      <w:r>
        <w:rPr/>
        <w:tab/>
      </w:r>
      <w:r>
        <w:rPr>
          <w:spacing w:val="-5"/>
        </w:rPr>
        <w:t>em</w:t>
      </w:r>
      <w:r>
        <w:rPr>
          <w:spacing w:val="-5"/>
        </w:rPr>
        <w:t>:</w:t>
      </w:r>
    </w:p>
    <w:p>
      <w:pPr>
        <w:pStyle w:val="BodyText"/>
        <w:jc w:val="left"/>
      </w:pPr>
      <w:hyperlink r:id="rId10">
        <w:r>
          <w:rPr>
            <w:color w:val="1154CC"/>
            <w:spacing w:val="-2"/>
            <w:u w:val="single" w:color="1154CC"/>
          </w:rPr>
          <w:t>https://www.sciencedirect.com/science/article/pii/S0165032717324783</w:t>
        </w:r>
      </w:hyperlink>
      <w:r>
        <w:rPr>
          <w:spacing w:val="-2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spacing w:line="276" w:lineRule="auto"/>
        <w:jc w:val="left"/>
      </w:pPr>
      <w:r>
        <w:rPr/>
        <w:t>PILECKI,</w:t>
      </w:r>
      <w:r>
        <w:rPr>
          <w:spacing w:val="71"/>
        </w:rPr>
        <w:t> </w:t>
      </w:r>
      <w:r>
        <w:rPr/>
        <w:t>B.</w:t>
      </w:r>
      <w:r>
        <w:rPr>
          <w:spacing w:val="71"/>
        </w:rPr>
        <w:t> </w:t>
      </w:r>
      <w:r>
        <w:rPr/>
        <w:t>et</w:t>
      </w:r>
      <w:r>
        <w:rPr>
          <w:spacing w:val="71"/>
        </w:rPr>
        <w:t> </w:t>
      </w:r>
      <w:r>
        <w:rPr/>
        <w:t>al.</w:t>
      </w:r>
      <w:r>
        <w:rPr>
          <w:spacing w:val="71"/>
        </w:rPr>
        <w:t> </w:t>
      </w:r>
      <w:r>
        <w:rPr/>
        <w:t>Ethical</w:t>
      </w:r>
      <w:r>
        <w:rPr>
          <w:spacing w:val="71"/>
        </w:rPr>
        <w:t> </w:t>
      </w:r>
      <w:r>
        <w:rPr/>
        <w:t>and</w:t>
      </w:r>
      <w:r>
        <w:rPr>
          <w:spacing w:val="71"/>
        </w:rPr>
        <w:t> </w:t>
      </w:r>
      <w:r>
        <w:rPr/>
        <w:t>legal</w:t>
      </w:r>
      <w:r>
        <w:rPr>
          <w:spacing w:val="71"/>
        </w:rPr>
        <w:t> </w:t>
      </w:r>
      <w:r>
        <w:rPr/>
        <w:t>issues</w:t>
      </w:r>
      <w:r>
        <w:rPr>
          <w:spacing w:val="71"/>
        </w:rPr>
        <w:t> </w:t>
      </w:r>
      <w:r>
        <w:rPr/>
        <w:t>in</w:t>
      </w:r>
      <w:r>
        <w:rPr>
          <w:spacing w:val="71"/>
        </w:rPr>
        <w:t> </w:t>
      </w:r>
      <w:r>
        <w:rPr/>
        <w:t>psychedelic</w:t>
      </w:r>
      <w:r>
        <w:rPr>
          <w:spacing w:val="71"/>
        </w:rPr>
        <w:t> </w:t>
      </w:r>
      <w:r>
        <w:rPr/>
        <w:t>harm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and integration</w:t>
      </w:r>
      <w:r>
        <w:rPr>
          <w:spacing w:val="-8"/>
        </w:rPr>
        <w:t> </w:t>
      </w:r>
      <w:r>
        <w:rPr/>
        <w:t>therapy.</w:t>
      </w:r>
      <w:r>
        <w:rPr>
          <w:spacing w:val="-8"/>
        </w:rPr>
        <w:t> </w:t>
      </w:r>
      <w:r>
        <w:rPr/>
        <w:t>Harm</w:t>
      </w:r>
      <w:r>
        <w:rPr>
          <w:spacing w:val="-8"/>
        </w:rPr>
        <w:t> </w:t>
      </w:r>
      <w:r>
        <w:rPr/>
        <w:t>Reduction,</w:t>
      </w:r>
      <w:r>
        <w:rPr>
          <w:spacing w:val="-7"/>
        </w:rPr>
        <w:t> </w:t>
      </w:r>
      <w:r>
        <w:rPr/>
        <w:t>v.</w:t>
      </w:r>
      <w:r>
        <w:rPr>
          <w:spacing w:val="-8"/>
        </w:rPr>
        <w:t> </w:t>
      </w:r>
      <w:r>
        <w:rPr/>
        <w:t>18,</w:t>
      </w:r>
      <w:r>
        <w:rPr>
          <w:spacing w:val="-8"/>
        </w:rPr>
        <w:t> </w:t>
      </w:r>
      <w:r>
        <w:rPr/>
        <w:t>2021.</w:t>
      </w:r>
      <w:r>
        <w:rPr>
          <w:spacing w:val="-7"/>
        </w:rPr>
        <w:t> </w:t>
      </w:r>
      <w:r>
        <w:rPr/>
        <w:t>DOI:10.1186/s12954-021-00489-</w:t>
      </w:r>
      <w:r>
        <w:rPr>
          <w:spacing w:val="-5"/>
        </w:rPr>
        <w:t>1.</w:t>
      </w: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BodyText"/>
        <w:spacing w:before="1"/>
      </w:pPr>
      <w:r>
        <w:rPr/>
        <w:t>SARRIS,</w:t>
      </w:r>
      <w:r>
        <w:rPr>
          <w:spacing w:val="22"/>
        </w:rPr>
        <w:t> </w:t>
      </w:r>
      <w:r>
        <w:rPr/>
        <w:t>J.;</w:t>
      </w:r>
      <w:r>
        <w:rPr>
          <w:spacing w:val="23"/>
        </w:rPr>
        <w:t> </w:t>
      </w:r>
      <w:r>
        <w:rPr/>
        <w:t>PINZON</w:t>
      </w:r>
      <w:r>
        <w:rPr>
          <w:spacing w:val="22"/>
        </w:rPr>
        <w:t> </w:t>
      </w:r>
      <w:r>
        <w:rPr/>
        <w:t>RUBIANO,</w:t>
      </w:r>
      <w:r>
        <w:rPr>
          <w:spacing w:val="23"/>
        </w:rPr>
        <w:t> </w:t>
      </w:r>
      <w:r>
        <w:rPr/>
        <w:t>D.;</w:t>
      </w:r>
      <w:r>
        <w:rPr>
          <w:spacing w:val="9"/>
        </w:rPr>
        <w:t> </w:t>
      </w:r>
      <w:r>
        <w:rPr/>
        <w:t>DAY,</w:t>
      </w:r>
      <w:r>
        <w:rPr>
          <w:spacing w:val="8"/>
        </w:rPr>
        <w:t> </w:t>
      </w:r>
      <w:r>
        <w:rPr/>
        <w:t>K.;</w:t>
      </w:r>
      <w:r>
        <w:rPr>
          <w:spacing w:val="9"/>
        </w:rPr>
        <w:t> </w:t>
      </w:r>
      <w:r>
        <w:rPr/>
        <w:t>GALVÃO-COELHO,</w:t>
      </w:r>
      <w:r>
        <w:rPr>
          <w:spacing w:val="9"/>
        </w:rPr>
        <w:t> </w:t>
      </w:r>
      <w:r>
        <w:rPr/>
        <w:t>N.</w:t>
      </w:r>
      <w:r>
        <w:rPr>
          <w:spacing w:val="9"/>
        </w:rPr>
        <w:t> </w:t>
      </w:r>
      <w:r>
        <w:rPr/>
        <w:t>L.;</w:t>
      </w:r>
      <w:r>
        <w:rPr>
          <w:spacing w:val="9"/>
        </w:rPr>
        <w:t> </w:t>
      </w:r>
      <w:r>
        <w:rPr>
          <w:spacing w:val="-2"/>
        </w:rPr>
        <w:t>PERKINS,</w:t>
      </w:r>
    </w:p>
    <w:p>
      <w:pPr>
        <w:pStyle w:val="BodyText"/>
        <w:spacing w:line="276" w:lineRule="auto" w:before="41"/>
        <w:ind w:right="124"/>
      </w:pPr>
      <w:r>
        <w:rPr/>
        <w:t>D. Psychedelic medicines for mood disorders: current evidence and </w:t>
      </w:r>
      <w:r>
        <w:rPr/>
        <w:t>clinical considerations. Current Opinion in Psychiatry, v. 35, n. 1, p. 22-29, 2022. </w:t>
      </w:r>
      <w:r>
        <w:rPr/>
        <w:t>DOI: </w:t>
      </w:r>
      <w:r>
        <w:rPr>
          <w:spacing w:val="-2"/>
        </w:rPr>
        <w:t>https://doi.org/10.1097/YCO.0000000000000759.</w:t>
      </w: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BodyText"/>
        <w:ind w:right="113"/>
      </w:pPr>
      <w:r>
        <w:rPr/>
        <w:t>SCHENBERG, E. E. Psychedelic-Assisted Psychotherapy: A Paradigm Shift </w:t>
      </w:r>
      <w:r>
        <w:rPr/>
        <w:t>in Psychiatric Research and Development. Frontiers in Pharmacology, v. 9, 2018. Disponível</w:t>
      </w:r>
      <w:r>
        <w:rPr>
          <w:spacing w:val="-19"/>
        </w:rPr>
        <w:t> </w:t>
      </w:r>
      <w:r>
        <w:rPr/>
        <w:t>em:</w:t>
      </w:r>
      <w:r>
        <w:rPr>
          <w:spacing w:val="-17"/>
        </w:rPr>
        <w:t> </w:t>
      </w:r>
      <w:hyperlink r:id="rId11">
        <w:r>
          <w:rPr/>
          <w:t>&lt;https://www.frontiersin.org/articles/10.3389/fphar.2018.00733&gt;.</w:t>
        </w:r>
      </w:hyperlink>
      <w:r>
        <w:rPr>
          <w:spacing w:val="-16"/>
        </w:rPr>
        <w:t> </w:t>
      </w:r>
      <w:r>
        <w:rPr/>
        <w:t>DOI: </w:t>
      </w:r>
      <w:r>
        <w:rPr>
          <w:spacing w:val="-2"/>
        </w:rPr>
        <w:t>10.3389/fphar.2018.00733.</w:t>
      </w:r>
    </w:p>
    <w:p>
      <w:pPr>
        <w:pStyle w:val="BodyText"/>
        <w:ind w:left="0"/>
        <w:jc w:val="left"/>
      </w:pPr>
    </w:p>
    <w:p>
      <w:pPr>
        <w:pStyle w:val="BodyText"/>
        <w:ind w:right="121"/>
      </w:pPr>
      <w:r>
        <w:rPr/>
        <w:t>SUMNER, R. L. et al. A qualitative and quantitative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patient’s</w:t>
      </w:r>
      <w:r>
        <w:rPr>
          <w:spacing w:val="-3"/>
        </w:rPr>
        <w:t> </w:t>
      </w:r>
      <w:r>
        <w:rPr/>
        <w:t>experiences of ketamine and its antidepressant properties. Journal of Psychopharmacology (Oxford, England), v. 35, n. 8, p. 946–961, ago. 2021. DOI: </w:t>
      </w:r>
      <w:r>
        <w:rPr>
          <w:spacing w:val="-2"/>
        </w:rPr>
        <w:t>10.1177/0269881121998321.</w:t>
      </w:r>
    </w:p>
    <w:p>
      <w:pPr>
        <w:pStyle w:val="BodyText"/>
        <w:ind w:left="0"/>
        <w:jc w:val="left"/>
      </w:pPr>
    </w:p>
    <w:p>
      <w:pPr>
        <w:pStyle w:val="BodyText"/>
        <w:ind w:right="120"/>
      </w:pPr>
      <w:r>
        <w:rPr/>
        <w:t>SHORT, Brooke et al. Side-effects associated with ketamine use in depression: </w:t>
      </w:r>
      <w:r>
        <w:rPr/>
        <w:t>a systematic review. The Lancet Psychiatry, v. 4, n. 8, p. 658-666, 2017. DOI: </w:t>
      </w:r>
      <w:r>
        <w:rPr>
          <w:spacing w:val="-2"/>
        </w:rPr>
        <w:t>10.1016/S2215-0366(17)30272-9.</w:t>
      </w:r>
    </w:p>
    <w:p>
      <w:pPr>
        <w:pStyle w:val="BodyText"/>
        <w:ind w:left="0"/>
        <w:jc w:val="left"/>
      </w:pPr>
    </w:p>
    <w:p>
      <w:pPr>
        <w:pStyle w:val="BodyText"/>
      </w:pPr>
      <w:r>
        <w:rPr/>
        <w:t>VAMVAKOPOULOU,</w:t>
      </w:r>
      <w:r>
        <w:rPr>
          <w:spacing w:val="11"/>
        </w:rPr>
        <w:t> </w:t>
      </w:r>
      <w:r>
        <w:rPr/>
        <w:t>I.</w:t>
      </w:r>
      <w:r>
        <w:rPr>
          <w:spacing w:val="12"/>
        </w:rPr>
        <w:t> </w:t>
      </w:r>
      <w:r>
        <w:rPr/>
        <w:t>A.;</w:t>
      </w:r>
      <w:r>
        <w:rPr>
          <w:spacing w:val="12"/>
        </w:rPr>
        <w:t> </w:t>
      </w:r>
      <w:r>
        <w:rPr/>
        <w:t>NARINE,</w:t>
      </w:r>
      <w:r>
        <w:rPr>
          <w:spacing w:val="12"/>
        </w:rPr>
        <w:t> </w:t>
      </w:r>
      <w:r>
        <w:rPr/>
        <w:t>K.</w:t>
      </w:r>
      <w:r>
        <w:rPr>
          <w:spacing w:val="12"/>
        </w:rPr>
        <w:t> </w:t>
      </w:r>
      <w:r>
        <w:rPr/>
        <w:t>A.</w:t>
      </w:r>
      <w:r>
        <w:rPr>
          <w:spacing w:val="-3"/>
        </w:rPr>
        <w:t> </w:t>
      </w:r>
      <w:r>
        <w:rPr/>
        <w:t>D.;</w:t>
      </w:r>
      <w:r>
        <w:rPr>
          <w:spacing w:val="-2"/>
        </w:rPr>
        <w:t> </w:t>
      </w:r>
      <w:r>
        <w:rPr/>
        <w:t>CAMPBELL,</w:t>
      </w:r>
      <w:r>
        <w:rPr>
          <w:spacing w:val="-3"/>
        </w:rPr>
        <w:t> </w:t>
      </w:r>
      <w:r>
        <w:rPr/>
        <w:t>I.;</w:t>
      </w:r>
      <w:r>
        <w:rPr>
          <w:spacing w:val="-2"/>
        </w:rPr>
        <w:t> </w:t>
      </w:r>
      <w:r>
        <w:rPr/>
        <w:t>DYCK,</w:t>
      </w:r>
      <w:r>
        <w:rPr>
          <w:spacing w:val="-3"/>
        </w:rPr>
        <w:t> </w:t>
      </w:r>
      <w:r>
        <w:rPr/>
        <w:t>J.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B.;</w:t>
      </w:r>
      <w:r>
        <w:rPr>
          <w:spacing w:val="-2"/>
        </w:rPr>
        <w:t> NUTT,</w:t>
      </w:r>
    </w:p>
    <w:p>
      <w:pPr>
        <w:pStyle w:val="BodyText"/>
        <w:ind w:right="115"/>
      </w:pPr>
      <w:r>
        <w:rPr/>
        <w:t>D. J. Mescaline: The forgotten psychedelic. Neuropharmacology, v. 222, </w:t>
      </w:r>
      <w:r>
        <w:rPr/>
        <w:t>2023. Disponível em: https://doi.org/10.1016/j.neuropharm.2022.109294.</w:t>
      </w:r>
    </w:p>
    <w:p>
      <w:pPr>
        <w:pStyle w:val="BodyText"/>
        <w:ind w:left="0"/>
        <w:jc w:val="left"/>
      </w:pPr>
    </w:p>
    <w:p>
      <w:pPr>
        <w:pStyle w:val="BodyText"/>
        <w:ind w:right="123"/>
      </w:pPr>
      <w:r>
        <w:rPr/>
        <w:t>VAN AMSTERDAM, J.; VAN DEN</w:t>
      </w:r>
      <w:r>
        <w:rPr>
          <w:spacing w:val="-8"/>
        </w:rPr>
        <w:t> </w:t>
      </w:r>
      <w:r>
        <w:rPr/>
        <w:t>BRINK,</w:t>
      </w:r>
      <w:r>
        <w:rPr>
          <w:spacing w:val="-8"/>
        </w:rPr>
        <w:t> </w:t>
      </w:r>
      <w:r>
        <w:rPr/>
        <w:t>W.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psilocybin: a systematic review. Expert Opinion on Drug Safety, v. 21, n. 6, p. 833-840, 2022. DOI: 10.1080/14740338.2022.2047929.</w:t>
      </w:r>
    </w:p>
    <w:p>
      <w:pPr>
        <w:pStyle w:val="BodyText"/>
        <w:ind w:left="0"/>
        <w:jc w:val="left"/>
      </w:pPr>
    </w:p>
    <w:p>
      <w:pPr>
        <w:pStyle w:val="BodyText"/>
        <w:ind w:right="112"/>
      </w:pPr>
      <w:r>
        <w:rPr/>
        <w:t>WHEELER, S. W.; DYER, N. L. A systematic review of psychedelic-assisted psychotherapy for mental health: An evaluation of the current wave of research </w:t>
      </w:r>
      <w:r>
        <w:rPr/>
        <w:t>and suggestions for the future. Psychology of Consciousness: Theory, Research, and Practice, v. 7, n. 3, p. 279-315, 2020. Disponível em: </w:t>
      </w:r>
      <w:r>
        <w:rPr>
          <w:spacing w:val="-2"/>
        </w:rPr>
        <w:t>https://doi.org/10.1037/cns0000237.</w:t>
      </w:r>
    </w:p>
    <w:p>
      <w:pPr>
        <w:pStyle w:val="BodyText"/>
        <w:ind w:left="0"/>
        <w:jc w:val="left"/>
      </w:pPr>
    </w:p>
    <w:p>
      <w:pPr>
        <w:pStyle w:val="BodyText"/>
        <w:ind w:right="115"/>
      </w:pPr>
      <w:r>
        <w:rPr/>
        <w:t>ZARATE, C. A. et al. A randomized trial of an N-methyl-D-aspartate antagonist </w:t>
      </w:r>
      <w:r>
        <w:rPr/>
        <w:t>in treatment-resistant major depression. Archives of General Psychiatry, v. 63, n. 8, p. 856-864, ago. 2006.</w:t>
      </w:r>
    </w:p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nature.com/articles/s41398-023-02451-0" TargetMode="External"/><Relationship Id="rId6" Type="http://schemas.openxmlformats.org/officeDocument/2006/relationships/hyperlink" Target="http://www.gov.br/anvisa/pt-br/assuntos/medicamentos/controlados/RDC607.pdf" TargetMode="External"/><Relationship Id="rId7" Type="http://schemas.openxmlformats.org/officeDocument/2006/relationships/hyperlink" Target="https://doi.org/10.1007/s40263-021-00846-5" TargetMode="External"/><Relationship Id="rId8" Type="http://schemas.openxmlformats.org/officeDocument/2006/relationships/hyperlink" Target="http://www.sciencedirect.com/science/article/abs/pii/S0165032722007984" TargetMode="External"/><Relationship Id="rId9" Type="http://schemas.openxmlformats.org/officeDocument/2006/relationships/hyperlink" Target="http://www.tandfonline.com/doi/abs/10.1080/02791072.1997.10400185" TargetMode="External"/><Relationship Id="rId10" Type="http://schemas.openxmlformats.org/officeDocument/2006/relationships/hyperlink" Target="https://www.sciencedirect.com/science/article/pii/S0165032717324783" TargetMode="External"/><Relationship Id="rId11" Type="http://schemas.openxmlformats.org/officeDocument/2006/relationships/hyperlink" Target="http://www.frontiersin.org/articles/10.3389/fphar.2018.0073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Terapia psi cetamina</dc:title>
  <dcterms:created xsi:type="dcterms:W3CDTF">2023-07-30T11:34:30Z</dcterms:created>
  <dcterms:modified xsi:type="dcterms:W3CDTF">2023-07-30T11:34:30Z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m117 Google Docs Renderer</vt:lpwstr>
  </property>
</Properties>
</file>