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E31A6" w:rsidRDefault="00000000">
      <w:pPr>
        <w:ind w:firstLineChars="850" w:firstLine="1907"/>
        <w:jc w:val="both"/>
        <w:rPr>
          <w:b/>
        </w:rPr>
      </w:pPr>
      <w:r>
        <w:rPr>
          <w:b/>
        </w:rPr>
        <w:t xml:space="preserve">                               </w:t>
      </w:r>
      <w:r>
        <w:rPr>
          <w:noProof/>
        </w:rPr>
        <w:drawing>
          <wp:inline distT="0" distB="0" distL="0" distR="0">
            <wp:extent cx="1299845" cy="806450"/>
            <wp:effectExtent l="0" t="0" r="8255" b="6350"/>
            <wp:docPr id="978996555" name="Picture 1" descr="KIIT University logo | University logo, University, ?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996555" name="Picture 1" descr="KIIT University logo | University logo, University, ? logo"/>
                    <pic:cNvPicPr>
                      <a:picLocks noChangeAspect="1" noChangeArrowheads="1"/>
                    </pic:cNvPicPr>
                  </pic:nvPicPr>
                  <pic:blipFill>
                    <a:blip r:embed="rId7" cstate="print">
                      <a:extLst>
                        <a:ext uri="{28A0092B-C50C-407E-A947-70E740481C1C}">
                          <a14:useLocalDpi xmlns:a14="http://schemas.microsoft.com/office/drawing/2010/main" val="0"/>
                        </a:ext>
                      </a:extLst>
                    </a:blip>
                    <a:srcRect l="14415" t="12396" r="11912" b="12473"/>
                    <a:stretch>
                      <a:fillRect/>
                    </a:stretch>
                  </pic:blipFill>
                  <pic:spPr>
                    <a:xfrm>
                      <a:off x="0" y="0"/>
                      <a:ext cx="1299845" cy="806450"/>
                    </a:xfrm>
                    <a:prstGeom prst="rect">
                      <a:avLst/>
                    </a:prstGeom>
                    <a:noFill/>
                    <a:ln>
                      <a:noFill/>
                    </a:ln>
                  </pic:spPr>
                </pic:pic>
              </a:graphicData>
            </a:graphic>
          </wp:inline>
        </w:drawing>
      </w:r>
    </w:p>
    <w:p w:rsidR="005E31A6" w:rsidRDefault="00000000">
      <w:pPr>
        <w:ind w:firstLineChars="850" w:firstLine="1907"/>
        <w:jc w:val="both"/>
        <w:rPr>
          <w:b/>
        </w:rPr>
      </w:pPr>
      <w:r>
        <w:rPr>
          <w:b/>
        </w:rPr>
        <w:t>KALINGA INSTITUTE OF INDUSTRIAL TECHNOLOGY</w:t>
      </w:r>
    </w:p>
    <w:p w:rsidR="005E31A6" w:rsidRDefault="00000000">
      <w:pPr>
        <w:ind w:firstLineChars="1200" w:firstLine="2692"/>
        <w:jc w:val="both"/>
        <w:rPr>
          <w:b/>
        </w:rPr>
      </w:pPr>
      <w:r>
        <w:rPr>
          <w:b/>
        </w:rPr>
        <w:t>Deemed to be University, Bhubaneswar</w:t>
      </w:r>
    </w:p>
    <w:p w:rsidR="005E31A6" w:rsidRDefault="00000000">
      <w:pPr>
        <w:spacing w:after="80" w:line="240" w:lineRule="auto"/>
        <w:ind w:firstLineChars="1150" w:firstLine="3283"/>
        <w:jc w:val="both"/>
        <w:rPr>
          <w:b/>
          <w:sz w:val="28"/>
          <w:szCs w:val="28"/>
        </w:rPr>
      </w:pPr>
      <w:r>
        <w:rPr>
          <w:b/>
          <w:sz w:val="28"/>
          <w:szCs w:val="28"/>
        </w:rPr>
        <w:t>School of Humanities</w:t>
      </w:r>
    </w:p>
    <w:p w:rsidR="005E31A6" w:rsidRDefault="00000000">
      <w:pPr>
        <w:spacing w:after="80" w:line="240" w:lineRule="auto"/>
        <w:ind w:firstLineChars="1200" w:firstLine="3426"/>
        <w:jc w:val="both"/>
        <w:rPr>
          <w:b/>
          <w:sz w:val="28"/>
          <w:szCs w:val="28"/>
        </w:rPr>
      </w:pPr>
      <w:r>
        <w:rPr>
          <w:b/>
          <w:sz w:val="28"/>
          <w:szCs w:val="28"/>
        </w:rPr>
        <w:t>Session: 2023 - 2024</w:t>
      </w:r>
    </w:p>
    <w:p w:rsidR="005E31A6" w:rsidRDefault="00000000">
      <w:pPr>
        <w:spacing w:after="80" w:line="240" w:lineRule="auto"/>
        <w:ind w:firstLineChars="1300" w:firstLine="3181"/>
        <w:jc w:val="both"/>
        <w:rPr>
          <w:b/>
          <w:sz w:val="24"/>
          <w:szCs w:val="24"/>
        </w:rPr>
      </w:pPr>
      <w:r>
        <w:rPr>
          <w:b/>
          <w:sz w:val="24"/>
          <w:szCs w:val="24"/>
        </w:rPr>
        <w:t>DAYWISE LESSON PLAN</w:t>
      </w:r>
    </w:p>
    <w:p w:rsidR="005E31A6" w:rsidRDefault="00000000">
      <w:pPr>
        <w:ind w:firstLineChars="1650" w:firstLine="3701"/>
        <w:rPr>
          <w:b/>
          <w:sz w:val="24"/>
          <w:szCs w:val="24"/>
        </w:rPr>
      </w:pPr>
      <w:r>
        <w:rPr>
          <w:b/>
        </w:rPr>
        <w:t xml:space="preserve">Course Faculty: </w:t>
      </w:r>
    </w:p>
    <w:p w:rsidR="005E31A6" w:rsidRDefault="00000000">
      <w:pPr>
        <w:pStyle w:val="Heading2"/>
        <w:keepNext w:val="0"/>
        <w:keepLines w:val="0"/>
        <w:spacing w:after="80" w:line="240" w:lineRule="auto"/>
        <w:jc w:val="center"/>
        <w:rPr>
          <w:rFonts w:eastAsia="Times New Roman"/>
          <w:b/>
          <w:sz w:val="24"/>
          <w:szCs w:val="24"/>
        </w:rPr>
      </w:pPr>
      <w:r>
        <w:rPr>
          <w:rFonts w:eastAsia="Times New Roman"/>
          <w:b/>
          <w:sz w:val="24"/>
          <w:szCs w:val="24"/>
        </w:rPr>
        <w:t xml:space="preserve">INTERNATIONAL ECONOMIC COOPERATION </w:t>
      </w:r>
    </w:p>
    <w:p w:rsidR="005E31A6" w:rsidRDefault="005E31A6"/>
    <w:p w:rsidR="005E31A6" w:rsidRDefault="00000000">
      <w:pPr>
        <w:spacing w:line="240" w:lineRule="auto"/>
        <w:rPr>
          <w:rFonts w:eastAsia="Times New Roman"/>
          <w:b/>
          <w:sz w:val="24"/>
          <w:szCs w:val="24"/>
        </w:rPr>
      </w:pPr>
      <w:r>
        <w:rPr>
          <w:rFonts w:eastAsia="Times New Roman"/>
          <w:b/>
          <w:sz w:val="24"/>
          <w:szCs w:val="24"/>
        </w:rPr>
        <w:t xml:space="preserve">Subject Code: HS 20122                                                                                      </w:t>
      </w:r>
    </w:p>
    <w:p w:rsidR="005E31A6" w:rsidRDefault="00000000">
      <w:pPr>
        <w:spacing w:line="240" w:lineRule="auto"/>
        <w:rPr>
          <w:rFonts w:eastAsia="Times New Roman"/>
          <w:b/>
          <w:sz w:val="24"/>
          <w:szCs w:val="24"/>
        </w:rPr>
      </w:pPr>
      <w:r>
        <w:rPr>
          <w:rFonts w:eastAsia="Times New Roman"/>
          <w:b/>
          <w:sz w:val="24"/>
          <w:szCs w:val="24"/>
        </w:rPr>
        <w:t xml:space="preserve"> Credit: 3</w:t>
      </w:r>
    </w:p>
    <w:p w:rsidR="005E31A6" w:rsidRDefault="00000000">
      <w:pPr>
        <w:spacing w:line="240" w:lineRule="auto"/>
        <w:rPr>
          <w:rFonts w:eastAsia="Times New Roman"/>
          <w:b/>
          <w:sz w:val="24"/>
          <w:szCs w:val="24"/>
        </w:rPr>
      </w:pPr>
      <w:r>
        <w:rPr>
          <w:rFonts w:eastAsia="Times New Roman"/>
          <w:b/>
          <w:sz w:val="24"/>
          <w:szCs w:val="24"/>
        </w:rPr>
        <w:t>Classes per week: 3</w:t>
      </w:r>
    </w:p>
    <w:p w:rsidR="005E31A6" w:rsidRDefault="00000000">
      <w:pPr>
        <w:spacing w:line="240" w:lineRule="auto"/>
        <w:rPr>
          <w:rFonts w:eastAsia="Times New Roman"/>
          <w:b/>
          <w:sz w:val="24"/>
          <w:szCs w:val="24"/>
        </w:rPr>
      </w:pPr>
      <w:r>
        <w:rPr>
          <w:rFonts w:eastAsia="Times New Roman"/>
          <w:b/>
          <w:sz w:val="24"/>
          <w:szCs w:val="24"/>
        </w:rPr>
        <w:t>Total Number of Class: 45</w:t>
      </w:r>
    </w:p>
    <w:p w:rsidR="005E31A6" w:rsidRDefault="00000000">
      <w:pPr>
        <w:spacing w:line="240" w:lineRule="auto"/>
        <w:jc w:val="both"/>
        <w:rPr>
          <w:rFonts w:eastAsia="Times New Roman"/>
          <w:sz w:val="24"/>
          <w:szCs w:val="24"/>
        </w:rPr>
      </w:pPr>
      <w:r>
        <w:rPr>
          <w:rFonts w:eastAsia="Times New Roman"/>
          <w:b/>
          <w:sz w:val="24"/>
          <w:szCs w:val="24"/>
        </w:rPr>
        <w:t xml:space="preserve">Objective: </w:t>
      </w:r>
      <w:r>
        <w:rPr>
          <w:rFonts w:eastAsia="Times New Roman"/>
          <w:sz w:val="24"/>
          <w:szCs w:val="24"/>
        </w:rPr>
        <w:t xml:space="preserve">This course's overarching objective is to equip students with knowledge of both the theoretical concepts and the actual procedures involved in international trade. The specific purpose is to increase the knowledge of importing and exporting essentials and to offer the with the skills for understanding the international trading process. </w:t>
      </w:r>
    </w:p>
    <w:p w:rsidR="005E31A6" w:rsidRDefault="00000000">
      <w:pPr>
        <w:spacing w:before="240" w:line="240" w:lineRule="auto"/>
        <w:rPr>
          <w:rFonts w:eastAsia="Times New Roman"/>
          <w:b/>
          <w:sz w:val="24"/>
          <w:szCs w:val="24"/>
        </w:rPr>
      </w:pPr>
      <w:r>
        <w:rPr>
          <w:rFonts w:eastAsia="Times New Roman"/>
          <w:b/>
          <w:sz w:val="24"/>
          <w:szCs w:val="24"/>
        </w:rPr>
        <w:t xml:space="preserve">Course Outcome: </w:t>
      </w:r>
      <w:r>
        <w:rPr>
          <w:rFonts w:eastAsia="Times New Roman"/>
          <w:sz w:val="24"/>
          <w:szCs w:val="24"/>
          <w:highlight w:val="white"/>
        </w:rPr>
        <w:t>At the end of the course, the students will be able to</w:t>
      </w:r>
    </w:p>
    <w:p w:rsidR="005E31A6" w:rsidRDefault="00000000">
      <w:pPr>
        <w:spacing w:after="80" w:line="240" w:lineRule="auto"/>
        <w:ind w:firstLine="720"/>
        <w:rPr>
          <w:rFonts w:eastAsia="Times New Roman"/>
          <w:sz w:val="24"/>
          <w:szCs w:val="24"/>
        </w:rPr>
      </w:pPr>
      <w:r>
        <w:rPr>
          <w:rFonts w:eastAsia="Times New Roman"/>
          <w:sz w:val="24"/>
          <w:szCs w:val="24"/>
        </w:rPr>
        <w:t>CO1: Learn theories of international trade.</w:t>
      </w:r>
    </w:p>
    <w:p w:rsidR="005E31A6" w:rsidRDefault="00000000">
      <w:pPr>
        <w:spacing w:after="80" w:line="240" w:lineRule="auto"/>
        <w:ind w:firstLine="720"/>
        <w:rPr>
          <w:rFonts w:eastAsia="Times New Roman"/>
          <w:sz w:val="24"/>
          <w:szCs w:val="24"/>
        </w:rPr>
      </w:pPr>
      <w:r>
        <w:rPr>
          <w:rFonts w:eastAsia="Times New Roman"/>
          <w:sz w:val="24"/>
          <w:szCs w:val="24"/>
        </w:rPr>
        <w:t>CO2: Understand free trade, protection, and BOP</w:t>
      </w:r>
    </w:p>
    <w:p w:rsidR="005E31A6" w:rsidRDefault="00000000">
      <w:pPr>
        <w:spacing w:after="80" w:line="240" w:lineRule="auto"/>
        <w:ind w:firstLine="720"/>
        <w:rPr>
          <w:rFonts w:eastAsia="Times New Roman"/>
          <w:sz w:val="24"/>
          <w:szCs w:val="24"/>
        </w:rPr>
      </w:pPr>
      <w:r>
        <w:rPr>
          <w:rFonts w:eastAsia="Times New Roman"/>
          <w:sz w:val="24"/>
          <w:szCs w:val="24"/>
        </w:rPr>
        <w:t xml:space="preserve">CO3: Analyse the role of international </w:t>
      </w:r>
      <w:proofErr w:type="spellStart"/>
      <w:r>
        <w:rPr>
          <w:rFonts w:eastAsia="Times New Roman"/>
          <w:sz w:val="24"/>
          <w:szCs w:val="24"/>
        </w:rPr>
        <w:t>organisations</w:t>
      </w:r>
      <w:proofErr w:type="spellEnd"/>
    </w:p>
    <w:p w:rsidR="005E31A6" w:rsidRDefault="00000000">
      <w:pPr>
        <w:spacing w:after="80" w:line="240" w:lineRule="auto"/>
        <w:ind w:firstLine="720"/>
        <w:rPr>
          <w:rFonts w:eastAsia="Times New Roman"/>
          <w:sz w:val="24"/>
          <w:szCs w:val="24"/>
        </w:rPr>
      </w:pPr>
      <w:r>
        <w:rPr>
          <w:rFonts w:eastAsia="Times New Roman"/>
          <w:sz w:val="24"/>
          <w:szCs w:val="24"/>
        </w:rPr>
        <w:t>CO4: Understand the working of foreign exchange</w:t>
      </w:r>
    </w:p>
    <w:p w:rsidR="005E31A6" w:rsidRDefault="00000000">
      <w:pPr>
        <w:spacing w:after="80" w:line="240" w:lineRule="auto"/>
        <w:ind w:firstLine="720"/>
        <w:rPr>
          <w:rFonts w:eastAsia="Times New Roman"/>
          <w:sz w:val="24"/>
          <w:szCs w:val="24"/>
        </w:rPr>
      </w:pPr>
      <w:r>
        <w:rPr>
          <w:rFonts w:eastAsia="Times New Roman"/>
          <w:sz w:val="24"/>
          <w:szCs w:val="24"/>
        </w:rPr>
        <w:t>CO5: Study the EXIM policies</w:t>
      </w:r>
    </w:p>
    <w:p w:rsidR="005E31A6" w:rsidRDefault="00000000">
      <w:pPr>
        <w:spacing w:after="80" w:line="240" w:lineRule="auto"/>
        <w:ind w:firstLine="720"/>
        <w:rPr>
          <w:rFonts w:eastAsia="Times New Roman"/>
          <w:sz w:val="24"/>
          <w:szCs w:val="24"/>
        </w:rPr>
      </w:pPr>
      <w:r>
        <w:rPr>
          <w:rFonts w:eastAsia="Times New Roman"/>
          <w:sz w:val="24"/>
          <w:szCs w:val="24"/>
        </w:rPr>
        <w:t>CO6: Analyse secondary data relating to international trade</w:t>
      </w:r>
    </w:p>
    <w:p w:rsidR="005E31A6" w:rsidRDefault="005E31A6">
      <w:pPr>
        <w:spacing w:after="0"/>
        <w:rPr>
          <w:sz w:val="24"/>
          <w:szCs w:val="24"/>
        </w:rPr>
      </w:pPr>
    </w:p>
    <w:tbl>
      <w:tblPr>
        <w:tblW w:w="100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8"/>
        <w:gridCol w:w="8180"/>
      </w:tblGrid>
      <w:tr w:rsidR="005E31A6">
        <w:tc>
          <w:tcPr>
            <w:tcW w:w="1848" w:type="dxa"/>
            <w:shd w:val="clear" w:color="auto" w:fill="00B0F0"/>
          </w:tcPr>
          <w:p w:rsidR="005E31A6" w:rsidRDefault="00000000">
            <w:pPr>
              <w:spacing w:after="0" w:line="240" w:lineRule="auto"/>
              <w:jc w:val="center"/>
              <w:rPr>
                <w:b/>
                <w:sz w:val="24"/>
                <w:szCs w:val="24"/>
              </w:rPr>
            </w:pPr>
            <w:r>
              <w:rPr>
                <w:b/>
                <w:sz w:val="24"/>
                <w:szCs w:val="24"/>
              </w:rPr>
              <w:t>Course Lecture Number</w:t>
            </w:r>
          </w:p>
        </w:tc>
        <w:tc>
          <w:tcPr>
            <w:tcW w:w="8180" w:type="dxa"/>
            <w:shd w:val="clear" w:color="auto" w:fill="00B0F0"/>
          </w:tcPr>
          <w:p w:rsidR="005E31A6" w:rsidRDefault="00000000">
            <w:pPr>
              <w:spacing w:after="0" w:line="240" w:lineRule="auto"/>
              <w:ind w:firstLineChars="850" w:firstLine="2080"/>
              <w:jc w:val="both"/>
              <w:rPr>
                <w:b/>
                <w:sz w:val="24"/>
                <w:szCs w:val="24"/>
              </w:rPr>
            </w:pPr>
            <w:r>
              <w:rPr>
                <w:b/>
                <w:sz w:val="24"/>
                <w:szCs w:val="24"/>
              </w:rPr>
              <w:t>Topic to be Covered</w:t>
            </w:r>
          </w:p>
        </w:tc>
      </w:tr>
      <w:tr w:rsidR="005E31A6">
        <w:trPr>
          <w:trHeight w:val="403"/>
        </w:trPr>
        <w:tc>
          <w:tcPr>
            <w:tcW w:w="1848" w:type="dxa"/>
            <w:shd w:val="clear" w:color="auto" w:fill="FFFF00"/>
          </w:tcPr>
          <w:p w:rsidR="005E31A6" w:rsidRDefault="00000000">
            <w:pPr>
              <w:rPr>
                <w:b/>
                <w:sz w:val="24"/>
                <w:szCs w:val="24"/>
              </w:rPr>
            </w:pPr>
            <w:r>
              <w:rPr>
                <w:b/>
                <w:bCs/>
                <w:color w:val="000000"/>
                <w:sz w:val="24"/>
                <w:szCs w:val="24"/>
                <w:lang w:eastAsia="zh-CN" w:bidi="ar"/>
              </w:rPr>
              <w:t xml:space="preserve">Unit- </w:t>
            </w:r>
            <w:proofErr w:type="gramStart"/>
            <w:r>
              <w:rPr>
                <w:b/>
                <w:bCs/>
                <w:color w:val="000000"/>
                <w:sz w:val="24"/>
                <w:szCs w:val="24"/>
                <w:lang w:eastAsia="zh-CN" w:bidi="ar"/>
              </w:rPr>
              <w:t>1 :</w:t>
            </w:r>
            <w:proofErr w:type="gramEnd"/>
            <w:r>
              <w:rPr>
                <w:b/>
                <w:bCs/>
                <w:color w:val="000000"/>
                <w:sz w:val="24"/>
                <w:szCs w:val="24"/>
                <w:lang w:eastAsia="zh-CN" w:bidi="ar"/>
              </w:rPr>
              <w:t xml:space="preserve"> </w:t>
            </w:r>
          </w:p>
        </w:tc>
        <w:tc>
          <w:tcPr>
            <w:tcW w:w="8180" w:type="dxa"/>
            <w:shd w:val="clear" w:color="auto" w:fill="FFFF00"/>
          </w:tcPr>
          <w:p w:rsidR="005E31A6" w:rsidRDefault="00000000">
            <w:pPr>
              <w:spacing w:after="0" w:line="240" w:lineRule="auto"/>
              <w:rPr>
                <w:b/>
                <w:sz w:val="24"/>
                <w:szCs w:val="24"/>
              </w:rPr>
            </w:pPr>
            <w:r>
              <w:rPr>
                <w:rFonts w:eastAsia="Times New Roman"/>
                <w:b/>
                <w:sz w:val="24"/>
                <w:szCs w:val="24"/>
              </w:rPr>
              <w:t>Theories of International Trade</w:t>
            </w:r>
          </w:p>
        </w:tc>
      </w:tr>
      <w:tr w:rsidR="005E31A6">
        <w:trPr>
          <w:trHeight w:val="386"/>
        </w:trPr>
        <w:tc>
          <w:tcPr>
            <w:tcW w:w="1848" w:type="dxa"/>
          </w:tcPr>
          <w:p w:rsidR="005E31A6" w:rsidRDefault="00000000">
            <w:pPr>
              <w:spacing w:after="0" w:line="240" w:lineRule="auto"/>
              <w:rPr>
                <w:b/>
                <w:sz w:val="24"/>
                <w:szCs w:val="24"/>
              </w:rPr>
            </w:pPr>
            <w:r>
              <w:rPr>
                <w:bCs/>
                <w:sz w:val="24"/>
                <w:szCs w:val="24"/>
              </w:rPr>
              <w:t>1</w:t>
            </w:r>
          </w:p>
        </w:tc>
        <w:tc>
          <w:tcPr>
            <w:tcW w:w="8180" w:type="dxa"/>
          </w:tcPr>
          <w:p w:rsidR="005E31A6" w:rsidRDefault="00000000">
            <w:pPr>
              <w:pStyle w:val="NormalWeb"/>
              <w:spacing w:before="0" w:beforeAutospacing="0" w:after="0" w:afterAutospacing="0"/>
              <w:rPr>
                <w:b/>
              </w:rPr>
            </w:pPr>
            <w:r>
              <w:rPr>
                <w:bCs/>
              </w:rPr>
              <w:t xml:space="preserve">Introduction: Internal and International Trade, need for separate theory of </w:t>
            </w:r>
            <w:r>
              <w:rPr>
                <w:bCs/>
              </w:rPr>
              <w:lastRenderedPageBreak/>
              <w:t>International Trade</w:t>
            </w:r>
          </w:p>
        </w:tc>
      </w:tr>
      <w:tr w:rsidR="005E31A6">
        <w:trPr>
          <w:trHeight w:val="386"/>
        </w:trPr>
        <w:tc>
          <w:tcPr>
            <w:tcW w:w="1848" w:type="dxa"/>
          </w:tcPr>
          <w:p w:rsidR="005E31A6" w:rsidRDefault="00000000">
            <w:pPr>
              <w:spacing w:after="0" w:line="240" w:lineRule="auto"/>
              <w:rPr>
                <w:bCs/>
                <w:sz w:val="24"/>
                <w:szCs w:val="24"/>
              </w:rPr>
            </w:pPr>
            <w:r>
              <w:rPr>
                <w:bCs/>
                <w:sz w:val="24"/>
                <w:szCs w:val="24"/>
              </w:rPr>
              <w:lastRenderedPageBreak/>
              <w:t>2</w:t>
            </w:r>
          </w:p>
        </w:tc>
        <w:tc>
          <w:tcPr>
            <w:tcW w:w="8180" w:type="dxa"/>
          </w:tcPr>
          <w:p w:rsidR="005E31A6" w:rsidRDefault="00000000">
            <w:pPr>
              <w:pStyle w:val="NormalWeb"/>
              <w:spacing w:before="0" w:beforeAutospacing="0" w:after="0" w:afterAutospacing="0"/>
              <w:rPr>
                <w:bCs/>
              </w:rPr>
            </w:pPr>
            <w:r>
              <w:t>Classical Theories of International Trade- Mercantilism, Absolute Advantage,</w:t>
            </w:r>
          </w:p>
        </w:tc>
      </w:tr>
      <w:tr w:rsidR="005E31A6">
        <w:trPr>
          <w:trHeight w:val="386"/>
        </w:trPr>
        <w:tc>
          <w:tcPr>
            <w:tcW w:w="1848" w:type="dxa"/>
          </w:tcPr>
          <w:p w:rsidR="005E31A6" w:rsidRDefault="00000000">
            <w:pPr>
              <w:spacing w:after="0" w:line="240" w:lineRule="auto"/>
              <w:rPr>
                <w:bCs/>
                <w:sz w:val="24"/>
                <w:szCs w:val="24"/>
              </w:rPr>
            </w:pPr>
            <w:r>
              <w:rPr>
                <w:bCs/>
                <w:sz w:val="24"/>
                <w:szCs w:val="24"/>
              </w:rPr>
              <w:t>3</w:t>
            </w:r>
          </w:p>
        </w:tc>
        <w:tc>
          <w:tcPr>
            <w:tcW w:w="8180" w:type="dxa"/>
          </w:tcPr>
          <w:p w:rsidR="005E31A6" w:rsidRDefault="00000000">
            <w:pPr>
              <w:pStyle w:val="NormalWeb"/>
              <w:spacing w:before="0" w:beforeAutospacing="0" w:after="0" w:afterAutospacing="0"/>
              <w:rPr>
                <w:bCs/>
              </w:rPr>
            </w:pPr>
            <w:r>
              <w:t>Comparative advantage Theory</w:t>
            </w:r>
          </w:p>
        </w:tc>
      </w:tr>
      <w:tr w:rsidR="005E31A6">
        <w:tc>
          <w:tcPr>
            <w:tcW w:w="1848" w:type="dxa"/>
          </w:tcPr>
          <w:p w:rsidR="005E31A6" w:rsidRDefault="00000000">
            <w:pPr>
              <w:spacing w:after="0" w:line="240" w:lineRule="auto"/>
              <w:rPr>
                <w:rFonts w:eastAsia="Calibri"/>
                <w:color w:val="222222"/>
                <w:sz w:val="24"/>
                <w:szCs w:val="24"/>
                <w:shd w:val="clear" w:color="auto" w:fill="FFFFFF"/>
              </w:rPr>
            </w:pPr>
            <w:r>
              <w:rPr>
                <w:rFonts w:eastAsia="Calibri"/>
                <w:color w:val="222222"/>
                <w:sz w:val="24"/>
                <w:szCs w:val="24"/>
                <w:shd w:val="clear" w:color="auto" w:fill="FFFFFF"/>
              </w:rPr>
              <w:t>4</w:t>
            </w:r>
          </w:p>
        </w:tc>
        <w:tc>
          <w:tcPr>
            <w:tcW w:w="8180" w:type="dxa"/>
          </w:tcPr>
          <w:p w:rsidR="005E31A6" w:rsidRDefault="00000000">
            <w:pPr>
              <w:spacing w:after="0" w:line="240" w:lineRule="auto"/>
              <w:rPr>
                <w:b/>
                <w:sz w:val="24"/>
                <w:szCs w:val="24"/>
              </w:rPr>
            </w:pPr>
            <w:r>
              <w:rPr>
                <w:rFonts w:eastAsia="Times New Roman"/>
                <w:sz w:val="24"/>
                <w:szCs w:val="24"/>
              </w:rPr>
              <w:t>Gains from international trade</w:t>
            </w:r>
          </w:p>
        </w:tc>
      </w:tr>
      <w:tr w:rsidR="005E31A6">
        <w:tc>
          <w:tcPr>
            <w:tcW w:w="1848" w:type="dxa"/>
          </w:tcPr>
          <w:p w:rsidR="005E31A6" w:rsidRDefault="00000000">
            <w:pPr>
              <w:spacing w:after="0" w:line="240" w:lineRule="auto"/>
              <w:rPr>
                <w:rFonts w:eastAsia="Calibri"/>
                <w:color w:val="222222"/>
                <w:sz w:val="24"/>
                <w:szCs w:val="24"/>
                <w:shd w:val="clear" w:color="auto" w:fill="FFFFFF"/>
              </w:rPr>
            </w:pPr>
            <w:r>
              <w:rPr>
                <w:rFonts w:eastAsia="Calibri"/>
                <w:color w:val="222222"/>
                <w:sz w:val="24"/>
                <w:szCs w:val="24"/>
                <w:shd w:val="clear" w:color="auto" w:fill="FFFFFF"/>
              </w:rPr>
              <w:t>5</w:t>
            </w:r>
          </w:p>
        </w:tc>
        <w:tc>
          <w:tcPr>
            <w:tcW w:w="8180" w:type="dxa"/>
          </w:tcPr>
          <w:p w:rsidR="005E31A6" w:rsidRDefault="00000000">
            <w:pPr>
              <w:pStyle w:val="NormalWeb"/>
              <w:spacing w:before="0" w:beforeAutospacing="0" w:after="0" w:afterAutospacing="0"/>
              <w:rPr>
                <w:b/>
              </w:rPr>
            </w:pPr>
            <w:r>
              <w:t xml:space="preserve">Terms of trade: meaning and types, </w:t>
            </w:r>
          </w:p>
        </w:tc>
      </w:tr>
      <w:tr w:rsidR="005E31A6">
        <w:tc>
          <w:tcPr>
            <w:tcW w:w="1848" w:type="dxa"/>
          </w:tcPr>
          <w:p w:rsidR="005E31A6" w:rsidRDefault="00000000">
            <w:pPr>
              <w:spacing w:after="0" w:line="240" w:lineRule="auto"/>
              <w:rPr>
                <w:rFonts w:eastAsia="Calibri"/>
                <w:color w:val="222222"/>
                <w:sz w:val="24"/>
                <w:szCs w:val="24"/>
                <w:shd w:val="clear" w:color="auto" w:fill="FFFFFF"/>
              </w:rPr>
            </w:pPr>
            <w:r>
              <w:rPr>
                <w:rFonts w:eastAsia="Calibri"/>
                <w:color w:val="222222"/>
                <w:sz w:val="24"/>
                <w:szCs w:val="24"/>
                <w:shd w:val="clear" w:color="auto" w:fill="FFFFFF"/>
              </w:rPr>
              <w:t>6</w:t>
            </w:r>
          </w:p>
        </w:tc>
        <w:tc>
          <w:tcPr>
            <w:tcW w:w="8180" w:type="dxa"/>
          </w:tcPr>
          <w:p w:rsidR="005E31A6" w:rsidRDefault="00000000">
            <w:pPr>
              <w:pStyle w:val="NormalWeb"/>
              <w:spacing w:before="0" w:beforeAutospacing="0" w:after="0" w:afterAutospacing="0"/>
            </w:pPr>
            <w:r>
              <w:t>factors influencing terms of trade</w:t>
            </w:r>
          </w:p>
        </w:tc>
      </w:tr>
      <w:tr w:rsidR="005E31A6">
        <w:tc>
          <w:tcPr>
            <w:tcW w:w="1848" w:type="dxa"/>
          </w:tcPr>
          <w:p w:rsidR="005E31A6" w:rsidRDefault="00000000">
            <w:pPr>
              <w:spacing w:after="0" w:line="240" w:lineRule="auto"/>
              <w:rPr>
                <w:rFonts w:eastAsia="Calibri"/>
                <w:color w:val="222222"/>
                <w:sz w:val="24"/>
                <w:szCs w:val="24"/>
                <w:shd w:val="clear" w:color="auto" w:fill="FFFFFF"/>
              </w:rPr>
            </w:pPr>
            <w:r>
              <w:rPr>
                <w:rFonts w:eastAsia="Calibri"/>
                <w:color w:val="222222"/>
                <w:sz w:val="24"/>
                <w:szCs w:val="24"/>
                <w:shd w:val="clear" w:color="auto" w:fill="FFFFFF"/>
              </w:rPr>
              <w:t>7</w:t>
            </w:r>
          </w:p>
        </w:tc>
        <w:tc>
          <w:tcPr>
            <w:tcW w:w="8180" w:type="dxa"/>
          </w:tcPr>
          <w:p w:rsidR="005E31A6" w:rsidRDefault="00000000">
            <w:pPr>
              <w:spacing w:after="0" w:line="240" w:lineRule="auto"/>
              <w:rPr>
                <w:b/>
                <w:sz w:val="24"/>
                <w:szCs w:val="24"/>
              </w:rPr>
            </w:pPr>
            <w:r>
              <w:rPr>
                <w:rFonts w:eastAsia="Times New Roman"/>
                <w:sz w:val="24"/>
                <w:szCs w:val="24"/>
              </w:rPr>
              <w:t>Theory of Reciprocal Demand or Equilibrium terms of trade</w:t>
            </w:r>
          </w:p>
        </w:tc>
      </w:tr>
      <w:tr w:rsidR="005E31A6" w:rsidTr="00EC0AAB">
        <w:trPr>
          <w:trHeight w:val="359"/>
        </w:trPr>
        <w:tc>
          <w:tcPr>
            <w:tcW w:w="1848" w:type="dxa"/>
          </w:tcPr>
          <w:p w:rsidR="005E31A6" w:rsidRDefault="00000000">
            <w:pPr>
              <w:spacing w:after="0" w:line="240" w:lineRule="auto"/>
              <w:rPr>
                <w:rFonts w:eastAsia="Calibri"/>
                <w:color w:val="222222"/>
                <w:sz w:val="24"/>
                <w:szCs w:val="24"/>
                <w:shd w:val="clear" w:color="auto" w:fill="FFFFFF"/>
              </w:rPr>
            </w:pPr>
            <w:r>
              <w:rPr>
                <w:rFonts w:eastAsia="Calibri"/>
                <w:color w:val="222222"/>
                <w:sz w:val="24"/>
                <w:szCs w:val="24"/>
                <w:shd w:val="clear" w:color="auto" w:fill="FFFFFF"/>
              </w:rPr>
              <w:t>8</w:t>
            </w:r>
          </w:p>
        </w:tc>
        <w:tc>
          <w:tcPr>
            <w:tcW w:w="8180" w:type="dxa"/>
          </w:tcPr>
          <w:p w:rsidR="005E31A6" w:rsidRDefault="00000000">
            <w:pPr>
              <w:jc w:val="both"/>
              <w:rPr>
                <w:rFonts w:eastAsia="Calibri"/>
                <w:color w:val="222222"/>
                <w:sz w:val="24"/>
                <w:szCs w:val="24"/>
                <w:shd w:val="clear" w:color="auto" w:fill="FFFFFF"/>
              </w:rPr>
            </w:pPr>
            <w:r>
              <w:rPr>
                <w:rFonts w:eastAsia="Times New Roman"/>
                <w:sz w:val="24"/>
                <w:szCs w:val="24"/>
              </w:rPr>
              <w:t>Modern Theories of International Trade: Heckscher-Ohlin theory</w:t>
            </w:r>
          </w:p>
        </w:tc>
      </w:tr>
      <w:tr w:rsidR="005E31A6">
        <w:tc>
          <w:tcPr>
            <w:tcW w:w="1848" w:type="dxa"/>
          </w:tcPr>
          <w:p w:rsidR="005E31A6" w:rsidRDefault="00000000">
            <w:pPr>
              <w:spacing w:after="0" w:line="240" w:lineRule="auto"/>
              <w:rPr>
                <w:rFonts w:eastAsia="Calibri"/>
                <w:color w:val="222222"/>
                <w:sz w:val="24"/>
                <w:szCs w:val="24"/>
                <w:shd w:val="clear" w:color="auto" w:fill="FFFFFF"/>
              </w:rPr>
            </w:pPr>
            <w:r>
              <w:rPr>
                <w:rFonts w:eastAsia="Calibri"/>
                <w:color w:val="222222"/>
                <w:sz w:val="24"/>
                <w:szCs w:val="24"/>
                <w:shd w:val="clear" w:color="auto" w:fill="FFFFFF"/>
              </w:rPr>
              <w:t>9</w:t>
            </w:r>
          </w:p>
        </w:tc>
        <w:tc>
          <w:tcPr>
            <w:tcW w:w="8180" w:type="dxa"/>
          </w:tcPr>
          <w:p w:rsidR="005E31A6" w:rsidRDefault="00000000">
            <w:pPr>
              <w:spacing w:after="0" w:line="240" w:lineRule="auto"/>
              <w:rPr>
                <w:rFonts w:eastAsia="Times New Roman"/>
                <w:sz w:val="24"/>
                <w:szCs w:val="24"/>
              </w:rPr>
            </w:pPr>
            <w:r>
              <w:rPr>
                <w:rFonts w:eastAsia="Times New Roman"/>
                <w:b/>
                <w:bCs/>
                <w:sz w:val="24"/>
                <w:szCs w:val="24"/>
              </w:rPr>
              <w:t>Activity</w:t>
            </w:r>
          </w:p>
        </w:tc>
      </w:tr>
      <w:tr w:rsidR="005E31A6">
        <w:tc>
          <w:tcPr>
            <w:tcW w:w="1848" w:type="dxa"/>
            <w:shd w:val="clear" w:color="auto" w:fill="FFFF00"/>
          </w:tcPr>
          <w:p w:rsidR="005E31A6" w:rsidRDefault="00000000">
            <w:pPr>
              <w:spacing w:after="0" w:line="240" w:lineRule="auto"/>
              <w:rPr>
                <w:b/>
                <w:sz w:val="24"/>
                <w:szCs w:val="24"/>
              </w:rPr>
            </w:pPr>
            <w:r>
              <w:rPr>
                <w:b/>
                <w:sz w:val="24"/>
                <w:szCs w:val="24"/>
              </w:rPr>
              <w:t>Unit - 2</w:t>
            </w:r>
          </w:p>
        </w:tc>
        <w:tc>
          <w:tcPr>
            <w:tcW w:w="8180" w:type="dxa"/>
            <w:shd w:val="clear" w:color="auto" w:fill="FFFF00"/>
          </w:tcPr>
          <w:p w:rsidR="005E31A6" w:rsidRDefault="00000000">
            <w:pPr>
              <w:rPr>
                <w:b/>
                <w:sz w:val="24"/>
                <w:szCs w:val="24"/>
              </w:rPr>
            </w:pPr>
            <w:r>
              <w:rPr>
                <w:rFonts w:eastAsia="Times New Roman"/>
                <w:b/>
                <w:sz w:val="24"/>
                <w:szCs w:val="24"/>
              </w:rPr>
              <w:t>Free Trade, Protection and Balance of Payment</w:t>
            </w:r>
          </w:p>
        </w:tc>
      </w:tr>
      <w:tr w:rsidR="005E31A6">
        <w:trPr>
          <w:trHeight w:val="272"/>
        </w:trPr>
        <w:tc>
          <w:tcPr>
            <w:tcW w:w="1848" w:type="dxa"/>
          </w:tcPr>
          <w:p w:rsidR="005E31A6" w:rsidRDefault="00000000">
            <w:pPr>
              <w:spacing w:after="0" w:line="240" w:lineRule="auto"/>
              <w:rPr>
                <w:rFonts w:eastAsia="Calibri"/>
                <w:color w:val="222222"/>
                <w:sz w:val="24"/>
                <w:szCs w:val="24"/>
                <w:shd w:val="clear" w:color="auto" w:fill="FFFFFF"/>
              </w:rPr>
            </w:pPr>
            <w:r>
              <w:rPr>
                <w:rFonts w:eastAsia="Calibri"/>
                <w:color w:val="222222"/>
                <w:sz w:val="24"/>
                <w:szCs w:val="24"/>
                <w:shd w:val="clear" w:color="auto" w:fill="FFFFFF"/>
              </w:rPr>
              <w:t>10</w:t>
            </w:r>
          </w:p>
        </w:tc>
        <w:tc>
          <w:tcPr>
            <w:tcW w:w="8180" w:type="dxa"/>
          </w:tcPr>
          <w:p w:rsidR="005E31A6" w:rsidRDefault="00000000">
            <w:pPr>
              <w:spacing w:after="0" w:line="240" w:lineRule="auto"/>
              <w:rPr>
                <w:bCs/>
                <w:sz w:val="24"/>
                <w:szCs w:val="24"/>
              </w:rPr>
            </w:pPr>
            <w:r>
              <w:rPr>
                <w:bCs/>
                <w:sz w:val="24"/>
                <w:szCs w:val="24"/>
              </w:rPr>
              <w:t xml:space="preserve">Free Trade: Meaning, Arguments in </w:t>
            </w:r>
            <w:proofErr w:type="spellStart"/>
            <w:r>
              <w:rPr>
                <w:bCs/>
                <w:sz w:val="24"/>
                <w:szCs w:val="24"/>
              </w:rPr>
              <w:t>favour</w:t>
            </w:r>
            <w:proofErr w:type="spellEnd"/>
            <w:r>
              <w:rPr>
                <w:bCs/>
                <w:sz w:val="24"/>
                <w:szCs w:val="24"/>
              </w:rPr>
              <w:t xml:space="preserve"> of and against free trade.</w:t>
            </w:r>
          </w:p>
        </w:tc>
      </w:tr>
      <w:tr w:rsidR="005E31A6">
        <w:trPr>
          <w:trHeight w:val="325"/>
        </w:trPr>
        <w:tc>
          <w:tcPr>
            <w:tcW w:w="1848" w:type="dxa"/>
          </w:tcPr>
          <w:p w:rsidR="005E31A6" w:rsidRDefault="00000000">
            <w:pPr>
              <w:spacing w:after="0" w:line="240" w:lineRule="auto"/>
              <w:rPr>
                <w:rFonts w:eastAsia="Calibri"/>
                <w:color w:val="222222"/>
                <w:sz w:val="24"/>
                <w:szCs w:val="24"/>
                <w:shd w:val="clear" w:color="auto" w:fill="FFFFFF"/>
              </w:rPr>
            </w:pPr>
            <w:r>
              <w:rPr>
                <w:rFonts w:eastAsia="Calibri"/>
                <w:color w:val="222222"/>
                <w:sz w:val="24"/>
                <w:szCs w:val="24"/>
                <w:shd w:val="clear" w:color="auto" w:fill="FFFFFF"/>
              </w:rPr>
              <w:t>12</w:t>
            </w:r>
          </w:p>
        </w:tc>
        <w:tc>
          <w:tcPr>
            <w:tcW w:w="8180" w:type="dxa"/>
          </w:tcPr>
          <w:p w:rsidR="005E31A6" w:rsidRDefault="00000000">
            <w:pPr>
              <w:spacing w:after="0" w:line="240" w:lineRule="auto"/>
              <w:rPr>
                <w:b/>
                <w:sz w:val="24"/>
                <w:szCs w:val="24"/>
              </w:rPr>
            </w:pPr>
            <w:r>
              <w:rPr>
                <w:rFonts w:eastAsia="Times New Roman"/>
                <w:bCs/>
                <w:sz w:val="24"/>
                <w:szCs w:val="24"/>
              </w:rPr>
              <w:t xml:space="preserve">Protection: Meaning, </w:t>
            </w:r>
            <w:r>
              <w:rPr>
                <w:bCs/>
                <w:sz w:val="24"/>
                <w:szCs w:val="24"/>
              </w:rPr>
              <w:t xml:space="preserve">Arguments in </w:t>
            </w:r>
            <w:proofErr w:type="spellStart"/>
            <w:r>
              <w:rPr>
                <w:bCs/>
                <w:sz w:val="24"/>
                <w:szCs w:val="24"/>
              </w:rPr>
              <w:t>favour</w:t>
            </w:r>
            <w:proofErr w:type="spellEnd"/>
            <w:r>
              <w:rPr>
                <w:bCs/>
                <w:sz w:val="24"/>
                <w:szCs w:val="24"/>
              </w:rPr>
              <w:t xml:space="preserve"> of and against protection</w:t>
            </w:r>
          </w:p>
        </w:tc>
      </w:tr>
      <w:tr w:rsidR="005E31A6">
        <w:trPr>
          <w:trHeight w:val="295"/>
        </w:trPr>
        <w:tc>
          <w:tcPr>
            <w:tcW w:w="1848" w:type="dxa"/>
          </w:tcPr>
          <w:p w:rsidR="005E31A6" w:rsidRDefault="00000000">
            <w:pPr>
              <w:spacing w:after="0" w:line="240" w:lineRule="auto"/>
              <w:rPr>
                <w:rFonts w:eastAsia="Calibri"/>
                <w:color w:val="222222"/>
                <w:sz w:val="24"/>
                <w:szCs w:val="24"/>
                <w:shd w:val="clear" w:color="auto" w:fill="FFFFFF"/>
              </w:rPr>
            </w:pPr>
            <w:r>
              <w:rPr>
                <w:rFonts w:eastAsia="Calibri"/>
                <w:color w:val="222222"/>
                <w:sz w:val="24"/>
                <w:szCs w:val="24"/>
                <w:shd w:val="clear" w:color="auto" w:fill="FFFFFF"/>
              </w:rPr>
              <w:t>13</w:t>
            </w:r>
          </w:p>
        </w:tc>
        <w:tc>
          <w:tcPr>
            <w:tcW w:w="8180" w:type="dxa"/>
          </w:tcPr>
          <w:p w:rsidR="005E31A6" w:rsidRDefault="00000000">
            <w:pPr>
              <w:spacing w:after="0" w:line="240" w:lineRule="auto"/>
              <w:rPr>
                <w:rFonts w:eastAsia="Times New Roman"/>
                <w:bCs/>
                <w:sz w:val="24"/>
                <w:szCs w:val="24"/>
              </w:rPr>
            </w:pPr>
            <w:r>
              <w:rPr>
                <w:rFonts w:eastAsia="Times New Roman"/>
                <w:bCs/>
                <w:sz w:val="24"/>
                <w:szCs w:val="24"/>
              </w:rPr>
              <w:t>Protection and underdeveloped and developing countries</w:t>
            </w:r>
          </w:p>
        </w:tc>
      </w:tr>
      <w:tr w:rsidR="005E31A6">
        <w:trPr>
          <w:trHeight w:val="375"/>
        </w:trPr>
        <w:tc>
          <w:tcPr>
            <w:tcW w:w="1848" w:type="dxa"/>
          </w:tcPr>
          <w:p w:rsidR="005E31A6" w:rsidRDefault="00000000">
            <w:pPr>
              <w:spacing w:after="0" w:line="240" w:lineRule="auto"/>
              <w:rPr>
                <w:rFonts w:eastAsia="Calibri"/>
                <w:color w:val="222222"/>
                <w:sz w:val="24"/>
                <w:szCs w:val="24"/>
                <w:shd w:val="clear" w:color="auto" w:fill="FFFFFF"/>
              </w:rPr>
            </w:pPr>
            <w:r>
              <w:rPr>
                <w:rFonts w:eastAsia="Calibri"/>
                <w:color w:val="222222"/>
                <w:sz w:val="24"/>
                <w:szCs w:val="24"/>
                <w:shd w:val="clear" w:color="auto" w:fill="FFFFFF"/>
              </w:rPr>
              <w:t>14</w:t>
            </w:r>
          </w:p>
        </w:tc>
        <w:tc>
          <w:tcPr>
            <w:tcW w:w="8180" w:type="dxa"/>
          </w:tcPr>
          <w:p w:rsidR="005E31A6" w:rsidRDefault="00000000">
            <w:pPr>
              <w:spacing w:after="0" w:line="240" w:lineRule="auto"/>
              <w:rPr>
                <w:rFonts w:eastAsia="Times New Roman"/>
                <w:bCs/>
                <w:sz w:val="24"/>
                <w:szCs w:val="24"/>
              </w:rPr>
            </w:pPr>
            <w:r>
              <w:rPr>
                <w:rFonts w:eastAsia="Times New Roman"/>
                <w:bCs/>
                <w:sz w:val="24"/>
                <w:szCs w:val="24"/>
              </w:rPr>
              <w:t>Forms or Methods of Protection: Tariff and Quotas</w:t>
            </w:r>
          </w:p>
        </w:tc>
      </w:tr>
      <w:tr w:rsidR="005E31A6">
        <w:trPr>
          <w:trHeight w:val="305"/>
        </w:trPr>
        <w:tc>
          <w:tcPr>
            <w:tcW w:w="1848" w:type="dxa"/>
          </w:tcPr>
          <w:p w:rsidR="005E31A6" w:rsidRDefault="00000000">
            <w:pPr>
              <w:spacing w:after="0" w:line="240" w:lineRule="auto"/>
              <w:rPr>
                <w:rFonts w:eastAsia="Calibri"/>
                <w:color w:val="222222"/>
                <w:sz w:val="24"/>
                <w:szCs w:val="24"/>
                <w:shd w:val="clear" w:color="auto" w:fill="FFFFFF"/>
              </w:rPr>
            </w:pPr>
            <w:r>
              <w:rPr>
                <w:rFonts w:eastAsia="Calibri"/>
                <w:color w:val="222222"/>
                <w:sz w:val="24"/>
                <w:szCs w:val="24"/>
                <w:shd w:val="clear" w:color="auto" w:fill="FFFFFF"/>
              </w:rPr>
              <w:t>15</w:t>
            </w:r>
          </w:p>
        </w:tc>
        <w:tc>
          <w:tcPr>
            <w:tcW w:w="8180" w:type="dxa"/>
          </w:tcPr>
          <w:p w:rsidR="005E31A6" w:rsidRDefault="00000000">
            <w:pPr>
              <w:pStyle w:val="NormalWeb"/>
              <w:spacing w:before="240"/>
              <w:rPr>
                <w:bCs/>
              </w:rPr>
            </w:pPr>
            <w:r>
              <w:rPr>
                <w:bCs/>
              </w:rPr>
              <w:t>Effects of protection: Effect of Tariff and Quotas, Tariff vs Quotas</w:t>
            </w:r>
          </w:p>
        </w:tc>
      </w:tr>
      <w:tr w:rsidR="005E31A6">
        <w:trPr>
          <w:trHeight w:val="275"/>
        </w:trPr>
        <w:tc>
          <w:tcPr>
            <w:tcW w:w="1848" w:type="dxa"/>
          </w:tcPr>
          <w:p w:rsidR="005E31A6" w:rsidRDefault="00000000">
            <w:pPr>
              <w:spacing w:after="0" w:line="240" w:lineRule="auto"/>
              <w:rPr>
                <w:rFonts w:eastAsia="Calibri"/>
                <w:color w:val="222222"/>
                <w:sz w:val="24"/>
                <w:szCs w:val="24"/>
                <w:shd w:val="clear" w:color="auto" w:fill="FFFFFF"/>
              </w:rPr>
            </w:pPr>
            <w:r>
              <w:rPr>
                <w:rFonts w:eastAsia="Calibri"/>
                <w:color w:val="222222"/>
                <w:sz w:val="24"/>
                <w:szCs w:val="24"/>
                <w:shd w:val="clear" w:color="auto" w:fill="FFFFFF"/>
              </w:rPr>
              <w:t>16</w:t>
            </w:r>
          </w:p>
        </w:tc>
        <w:tc>
          <w:tcPr>
            <w:tcW w:w="8180" w:type="dxa"/>
          </w:tcPr>
          <w:p w:rsidR="005E31A6" w:rsidRDefault="00000000">
            <w:pPr>
              <w:spacing w:after="0" w:line="240" w:lineRule="auto"/>
              <w:rPr>
                <w:rFonts w:eastAsia="Times New Roman"/>
                <w:bCs/>
                <w:sz w:val="24"/>
                <w:szCs w:val="24"/>
              </w:rPr>
            </w:pPr>
            <w:r>
              <w:rPr>
                <w:rFonts w:eastAsia="Times New Roman"/>
                <w:bCs/>
                <w:sz w:val="24"/>
                <w:szCs w:val="24"/>
              </w:rPr>
              <w:t xml:space="preserve">Balance of payment:  Introduction </w:t>
            </w:r>
          </w:p>
        </w:tc>
      </w:tr>
      <w:tr w:rsidR="005E31A6">
        <w:trPr>
          <w:trHeight w:val="275"/>
        </w:trPr>
        <w:tc>
          <w:tcPr>
            <w:tcW w:w="1848" w:type="dxa"/>
          </w:tcPr>
          <w:p w:rsidR="005E31A6" w:rsidRDefault="00000000">
            <w:pPr>
              <w:spacing w:after="0" w:line="240" w:lineRule="auto"/>
              <w:rPr>
                <w:rFonts w:eastAsia="Calibri"/>
                <w:color w:val="222222"/>
                <w:sz w:val="24"/>
                <w:szCs w:val="24"/>
                <w:shd w:val="clear" w:color="auto" w:fill="FFFFFF"/>
              </w:rPr>
            </w:pPr>
            <w:r>
              <w:rPr>
                <w:rFonts w:eastAsia="Calibri"/>
                <w:color w:val="222222"/>
                <w:sz w:val="24"/>
                <w:szCs w:val="24"/>
                <w:shd w:val="clear" w:color="auto" w:fill="FFFFFF"/>
              </w:rPr>
              <w:t>17</w:t>
            </w:r>
          </w:p>
        </w:tc>
        <w:tc>
          <w:tcPr>
            <w:tcW w:w="8180" w:type="dxa"/>
          </w:tcPr>
          <w:p w:rsidR="005E31A6" w:rsidRDefault="00000000">
            <w:pPr>
              <w:spacing w:after="0" w:line="240" w:lineRule="auto"/>
              <w:rPr>
                <w:rFonts w:eastAsia="Times New Roman"/>
                <w:bCs/>
                <w:sz w:val="24"/>
                <w:szCs w:val="24"/>
              </w:rPr>
            </w:pPr>
            <w:r>
              <w:rPr>
                <w:rFonts w:eastAsia="Times New Roman"/>
                <w:bCs/>
                <w:sz w:val="24"/>
                <w:szCs w:val="24"/>
              </w:rPr>
              <w:t>Structure of balance of payment</w:t>
            </w:r>
          </w:p>
        </w:tc>
      </w:tr>
      <w:tr w:rsidR="005E31A6">
        <w:trPr>
          <w:trHeight w:val="345"/>
        </w:trPr>
        <w:tc>
          <w:tcPr>
            <w:tcW w:w="1848" w:type="dxa"/>
          </w:tcPr>
          <w:p w:rsidR="005E31A6" w:rsidRDefault="00000000">
            <w:pPr>
              <w:spacing w:after="0" w:line="240" w:lineRule="auto"/>
              <w:rPr>
                <w:b/>
                <w:sz w:val="24"/>
                <w:szCs w:val="24"/>
              </w:rPr>
            </w:pPr>
            <w:r>
              <w:rPr>
                <w:b/>
                <w:sz w:val="24"/>
                <w:szCs w:val="24"/>
              </w:rPr>
              <w:t>18</w:t>
            </w:r>
          </w:p>
        </w:tc>
        <w:tc>
          <w:tcPr>
            <w:tcW w:w="8180" w:type="dxa"/>
          </w:tcPr>
          <w:p w:rsidR="005E31A6" w:rsidRDefault="00000000">
            <w:pPr>
              <w:spacing w:after="0" w:line="240" w:lineRule="auto"/>
              <w:rPr>
                <w:b/>
                <w:sz w:val="24"/>
                <w:szCs w:val="24"/>
              </w:rPr>
            </w:pPr>
            <w:r>
              <w:rPr>
                <w:rFonts w:eastAsia="Times New Roman"/>
                <w:sz w:val="24"/>
                <w:szCs w:val="24"/>
              </w:rPr>
              <w:t xml:space="preserve"> Disequilibrium in </w:t>
            </w:r>
            <w:proofErr w:type="spellStart"/>
            <w:r>
              <w:rPr>
                <w:rFonts w:eastAsia="Times New Roman"/>
                <w:sz w:val="24"/>
                <w:szCs w:val="24"/>
              </w:rPr>
              <w:t>BoP</w:t>
            </w:r>
            <w:proofErr w:type="spellEnd"/>
          </w:p>
        </w:tc>
      </w:tr>
      <w:tr w:rsidR="005E31A6">
        <w:trPr>
          <w:trHeight w:val="345"/>
        </w:trPr>
        <w:tc>
          <w:tcPr>
            <w:tcW w:w="1848" w:type="dxa"/>
          </w:tcPr>
          <w:p w:rsidR="005E31A6" w:rsidRDefault="00000000">
            <w:pPr>
              <w:spacing w:after="0" w:line="240" w:lineRule="auto"/>
              <w:rPr>
                <w:b/>
                <w:sz w:val="24"/>
                <w:szCs w:val="24"/>
              </w:rPr>
            </w:pPr>
            <w:r>
              <w:rPr>
                <w:b/>
                <w:sz w:val="24"/>
                <w:szCs w:val="24"/>
              </w:rPr>
              <w:t>19</w:t>
            </w:r>
          </w:p>
        </w:tc>
        <w:tc>
          <w:tcPr>
            <w:tcW w:w="8180" w:type="dxa"/>
          </w:tcPr>
          <w:p w:rsidR="005E31A6" w:rsidRDefault="00000000">
            <w:pPr>
              <w:spacing w:after="0" w:line="240" w:lineRule="auto"/>
              <w:rPr>
                <w:rFonts w:eastAsia="Times New Roman"/>
                <w:sz w:val="24"/>
                <w:szCs w:val="24"/>
              </w:rPr>
            </w:pPr>
            <w:r>
              <w:rPr>
                <w:rFonts w:eastAsia="Times New Roman"/>
                <w:sz w:val="24"/>
                <w:szCs w:val="24"/>
              </w:rPr>
              <w:t xml:space="preserve"> Measures to overcome disequilibrium in </w:t>
            </w:r>
            <w:proofErr w:type="spellStart"/>
            <w:r>
              <w:rPr>
                <w:rFonts w:eastAsia="Times New Roman"/>
                <w:sz w:val="24"/>
                <w:szCs w:val="24"/>
              </w:rPr>
              <w:t>BoP</w:t>
            </w:r>
            <w:proofErr w:type="spellEnd"/>
          </w:p>
        </w:tc>
      </w:tr>
      <w:tr w:rsidR="005E31A6">
        <w:trPr>
          <w:trHeight w:val="267"/>
        </w:trPr>
        <w:tc>
          <w:tcPr>
            <w:tcW w:w="1848" w:type="dxa"/>
          </w:tcPr>
          <w:p w:rsidR="005E31A6" w:rsidRDefault="00000000">
            <w:pPr>
              <w:spacing w:after="0" w:line="240" w:lineRule="auto"/>
              <w:rPr>
                <w:sz w:val="24"/>
                <w:szCs w:val="24"/>
              </w:rPr>
            </w:pPr>
            <w:r>
              <w:rPr>
                <w:sz w:val="24"/>
                <w:szCs w:val="24"/>
              </w:rPr>
              <w:t>20</w:t>
            </w:r>
          </w:p>
        </w:tc>
        <w:tc>
          <w:tcPr>
            <w:tcW w:w="8180" w:type="dxa"/>
          </w:tcPr>
          <w:p w:rsidR="005E31A6" w:rsidRDefault="00000000">
            <w:pPr>
              <w:rPr>
                <w:sz w:val="24"/>
                <w:szCs w:val="24"/>
              </w:rPr>
            </w:pPr>
            <w:r>
              <w:rPr>
                <w:rFonts w:eastAsia="Times New Roman"/>
                <w:sz w:val="24"/>
                <w:szCs w:val="24"/>
              </w:rPr>
              <w:t>Trade creation vs Trade diversion</w:t>
            </w:r>
          </w:p>
        </w:tc>
      </w:tr>
      <w:tr w:rsidR="005E31A6">
        <w:trPr>
          <w:trHeight w:val="227"/>
        </w:trPr>
        <w:tc>
          <w:tcPr>
            <w:tcW w:w="1848" w:type="dxa"/>
          </w:tcPr>
          <w:p w:rsidR="005E31A6" w:rsidRDefault="00000000">
            <w:pPr>
              <w:spacing w:after="0" w:line="240" w:lineRule="auto"/>
              <w:rPr>
                <w:sz w:val="24"/>
                <w:szCs w:val="24"/>
              </w:rPr>
            </w:pPr>
            <w:r>
              <w:rPr>
                <w:sz w:val="24"/>
                <w:szCs w:val="24"/>
              </w:rPr>
              <w:t>21</w:t>
            </w:r>
          </w:p>
        </w:tc>
        <w:tc>
          <w:tcPr>
            <w:tcW w:w="8180" w:type="dxa"/>
          </w:tcPr>
          <w:p w:rsidR="005E31A6" w:rsidRDefault="00000000">
            <w:pPr>
              <w:rPr>
                <w:rFonts w:eastAsia="Times New Roman"/>
                <w:sz w:val="24"/>
                <w:szCs w:val="24"/>
              </w:rPr>
            </w:pPr>
            <w:r>
              <w:rPr>
                <w:rFonts w:eastAsia="Times New Roman"/>
                <w:b/>
                <w:bCs/>
                <w:sz w:val="24"/>
                <w:szCs w:val="24"/>
              </w:rPr>
              <w:t>Activity</w:t>
            </w:r>
          </w:p>
        </w:tc>
      </w:tr>
      <w:tr w:rsidR="005E31A6" w:rsidTr="00EC0AAB">
        <w:trPr>
          <w:trHeight w:val="449"/>
        </w:trPr>
        <w:tc>
          <w:tcPr>
            <w:tcW w:w="1848" w:type="dxa"/>
            <w:shd w:val="clear" w:color="auto" w:fill="FFFF00"/>
          </w:tcPr>
          <w:p w:rsidR="005E31A6" w:rsidRDefault="00000000">
            <w:pPr>
              <w:spacing w:after="0" w:line="240" w:lineRule="auto"/>
              <w:rPr>
                <w:sz w:val="24"/>
                <w:szCs w:val="24"/>
              </w:rPr>
            </w:pPr>
            <w:r>
              <w:rPr>
                <w:rFonts w:eastAsia="Times New Roman"/>
                <w:b/>
                <w:sz w:val="24"/>
                <w:szCs w:val="24"/>
              </w:rPr>
              <w:t>Unit- 3:</w:t>
            </w:r>
          </w:p>
        </w:tc>
        <w:tc>
          <w:tcPr>
            <w:tcW w:w="8180" w:type="dxa"/>
            <w:shd w:val="clear" w:color="auto" w:fill="FFFF00"/>
          </w:tcPr>
          <w:p w:rsidR="005E31A6" w:rsidRDefault="00000000">
            <w:pPr>
              <w:rPr>
                <w:color w:val="000000"/>
                <w:sz w:val="24"/>
                <w:szCs w:val="24"/>
                <w:highlight w:val="yellow"/>
                <w:shd w:val="clear" w:color="auto" w:fill="FFFFFF"/>
              </w:rPr>
            </w:pPr>
            <w:r>
              <w:rPr>
                <w:rFonts w:eastAsia="Times New Roman"/>
                <w:b/>
                <w:sz w:val="24"/>
                <w:szCs w:val="24"/>
              </w:rPr>
              <w:t xml:space="preserve"> International Organizations</w:t>
            </w:r>
          </w:p>
        </w:tc>
      </w:tr>
      <w:tr w:rsidR="005E31A6">
        <w:tc>
          <w:tcPr>
            <w:tcW w:w="1848" w:type="dxa"/>
          </w:tcPr>
          <w:p w:rsidR="005E31A6" w:rsidRDefault="00000000">
            <w:pPr>
              <w:spacing w:after="0" w:line="240" w:lineRule="auto"/>
              <w:rPr>
                <w:sz w:val="24"/>
                <w:szCs w:val="24"/>
              </w:rPr>
            </w:pPr>
            <w:r>
              <w:rPr>
                <w:sz w:val="24"/>
                <w:szCs w:val="24"/>
              </w:rPr>
              <w:t>22</w:t>
            </w:r>
          </w:p>
        </w:tc>
        <w:tc>
          <w:tcPr>
            <w:tcW w:w="8180" w:type="dxa"/>
          </w:tcPr>
          <w:p w:rsidR="005E31A6" w:rsidRDefault="00000000">
            <w:pPr>
              <w:spacing w:after="0" w:line="240" w:lineRule="auto"/>
              <w:rPr>
                <w:sz w:val="24"/>
                <w:szCs w:val="24"/>
                <w:highlight w:val="yellow"/>
              </w:rPr>
            </w:pPr>
            <w:r>
              <w:rPr>
                <w:rFonts w:eastAsia="Times New Roman"/>
                <w:sz w:val="24"/>
                <w:szCs w:val="24"/>
              </w:rPr>
              <w:t xml:space="preserve">International Monetary Fund (IMF): Origin, Objectives, </w:t>
            </w:r>
          </w:p>
        </w:tc>
      </w:tr>
      <w:tr w:rsidR="005E31A6">
        <w:tc>
          <w:tcPr>
            <w:tcW w:w="1848" w:type="dxa"/>
          </w:tcPr>
          <w:p w:rsidR="005E31A6" w:rsidRDefault="00000000">
            <w:pPr>
              <w:spacing w:after="0" w:line="240" w:lineRule="auto"/>
              <w:rPr>
                <w:sz w:val="24"/>
                <w:szCs w:val="24"/>
              </w:rPr>
            </w:pPr>
            <w:r>
              <w:rPr>
                <w:sz w:val="24"/>
                <w:szCs w:val="24"/>
              </w:rPr>
              <w:t>23</w:t>
            </w:r>
          </w:p>
        </w:tc>
        <w:tc>
          <w:tcPr>
            <w:tcW w:w="8180" w:type="dxa"/>
          </w:tcPr>
          <w:p w:rsidR="005E31A6" w:rsidRDefault="00000000">
            <w:pPr>
              <w:spacing w:after="0" w:line="240" w:lineRule="auto"/>
              <w:rPr>
                <w:rFonts w:eastAsia="Times New Roman"/>
                <w:sz w:val="24"/>
                <w:szCs w:val="24"/>
              </w:rPr>
            </w:pPr>
            <w:r>
              <w:rPr>
                <w:rFonts w:eastAsia="Times New Roman"/>
                <w:sz w:val="24"/>
                <w:szCs w:val="24"/>
              </w:rPr>
              <w:t>Functions of IMF, Current relevance.</w:t>
            </w:r>
          </w:p>
        </w:tc>
      </w:tr>
      <w:tr w:rsidR="005E31A6">
        <w:tc>
          <w:tcPr>
            <w:tcW w:w="1848" w:type="dxa"/>
          </w:tcPr>
          <w:p w:rsidR="005E31A6" w:rsidRDefault="00000000">
            <w:pPr>
              <w:spacing w:after="0" w:line="240" w:lineRule="auto"/>
              <w:rPr>
                <w:sz w:val="24"/>
                <w:szCs w:val="24"/>
              </w:rPr>
            </w:pPr>
            <w:r>
              <w:rPr>
                <w:sz w:val="24"/>
                <w:szCs w:val="24"/>
              </w:rPr>
              <w:t>24</w:t>
            </w:r>
          </w:p>
        </w:tc>
        <w:tc>
          <w:tcPr>
            <w:tcW w:w="8180" w:type="dxa"/>
          </w:tcPr>
          <w:p w:rsidR="005E31A6" w:rsidRDefault="00000000">
            <w:pPr>
              <w:spacing w:after="0" w:line="240" w:lineRule="auto"/>
              <w:rPr>
                <w:sz w:val="24"/>
                <w:szCs w:val="24"/>
                <w:highlight w:val="yellow"/>
              </w:rPr>
            </w:pPr>
            <w:r>
              <w:rPr>
                <w:rFonts w:eastAsia="Times New Roman"/>
                <w:sz w:val="24"/>
                <w:szCs w:val="24"/>
              </w:rPr>
              <w:t xml:space="preserve">World Trade </w:t>
            </w:r>
            <w:proofErr w:type="spellStart"/>
            <w:r>
              <w:rPr>
                <w:rFonts w:eastAsia="Times New Roman"/>
                <w:sz w:val="24"/>
                <w:szCs w:val="24"/>
              </w:rPr>
              <w:t>Organisation</w:t>
            </w:r>
            <w:proofErr w:type="spellEnd"/>
            <w:r>
              <w:rPr>
                <w:rFonts w:eastAsia="Times New Roman"/>
                <w:sz w:val="24"/>
                <w:szCs w:val="24"/>
              </w:rPr>
              <w:t xml:space="preserve"> (WTO): Origin, Objectives, </w:t>
            </w:r>
          </w:p>
        </w:tc>
      </w:tr>
      <w:tr w:rsidR="005E31A6">
        <w:tc>
          <w:tcPr>
            <w:tcW w:w="1848" w:type="dxa"/>
          </w:tcPr>
          <w:p w:rsidR="005E31A6" w:rsidRDefault="00000000">
            <w:pPr>
              <w:spacing w:after="0" w:line="240" w:lineRule="auto"/>
              <w:rPr>
                <w:sz w:val="24"/>
                <w:szCs w:val="24"/>
              </w:rPr>
            </w:pPr>
            <w:r>
              <w:rPr>
                <w:sz w:val="24"/>
                <w:szCs w:val="24"/>
              </w:rPr>
              <w:t>25</w:t>
            </w:r>
          </w:p>
        </w:tc>
        <w:tc>
          <w:tcPr>
            <w:tcW w:w="8180" w:type="dxa"/>
          </w:tcPr>
          <w:p w:rsidR="005E31A6" w:rsidRDefault="00000000">
            <w:pPr>
              <w:spacing w:after="0" w:line="240" w:lineRule="auto"/>
              <w:rPr>
                <w:rFonts w:eastAsia="Times New Roman"/>
                <w:sz w:val="24"/>
                <w:szCs w:val="24"/>
              </w:rPr>
            </w:pPr>
            <w:r>
              <w:rPr>
                <w:rFonts w:eastAsia="Times New Roman"/>
                <w:sz w:val="24"/>
                <w:szCs w:val="24"/>
              </w:rPr>
              <w:t>Functions of WTO, Current relevance.</w:t>
            </w:r>
          </w:p>
        </w:tc>
      </w:tr>
      <w:tr w:rsidR="005E31A6">
        <w:tc>
          <w:tcPr>
            <w:tcW w:w="1848" w:type="dxa"/>
          </w:tcPr>
          <w:p w:rsidR="005E31A6" w:rsidRDefault="00000000">
            <w:pPr>
              <w:spacing w:after="0" w:line="240" w:lineRule="auto"/>
              <w:rPr>
                <w:sz w:val="24"/>
                <w:szCs w:val="24"/>
              </w:rPr>
            </w:pPr>
            <w:r>
              <w:rPr>
                <w:sz w:val="24"/>
                <w:szCs w:val="24"/>
              </w:rPr>
              <w:t>26</w:t>
            </w:r>
          </w:p>
        </w:tc>
        <w:tc>
          <w:tcPr>
            <w:tcW w:w="8180" w:type="dxa"/>
          </w:tcPr>
          <w:p w:rsidR="005E31A6" w:rsidRDefault="00000000">
            <w:pPr>
              <w:pStyle w:val="NormalWeb"/>
              <w:spacing w:before="0" w:beforeAutospacing="0" w:after="0" w:afterAutospacing="0"/>
            </w:pPr>
            <w:r>
              <w:t xml:space="preserve"> Regional Trade Agreements (RTA)- </w:t>
            </w:r>
            <w:proofErr w:type="spellStart"/>
            <w:r>
              <w:t>i</w:t>
            </w:r>
            <w:proofErr w:type="spellEnd"/>
            <w:r>
              <w:t>) Meaning and Objectives</w:t>
            </w:r>
          </w:p>
        </w:tc>
      </w:tr>
      <w:tr w:rsidR="005E31A6">
        <w:tc>
          <w:tcPr>
            <w:tcW w:w="1848" w:type="dxa"/>
          </w:tcPr>
          <w:p w:rsidR="005E31A6" w:rsidRDefault="00000000">
            <w:pPr>
              <w:spacing w:after="0" w:line="240" w:lineRule="auto"/>
              <w:rPr>
                <w:sz w:val="24"/>
                <w:szCs w:val="24"/>
              </w:rPr>
            </w:pPr>
            <w:r>
              <w:rPr>
                <w:sz w:val="24"/>
                <w:szCs w:val="24"/>
              </w:rPr>
              <w:t>27</w:t>
            </w:r>
          </w:p>
        </w:tc>
        <w:tc>
          <w:tcPr>
            <w:tcW w:w="8180" w:type="dxa"/>
          </w:tcPr>
          <w:p w:rsidR="005E31A6" w:rsidRDefault="00000000">
            <w:pPr>
              <w:pStyle w:val="NormalWeb"/>
              <w:spacing w:before="0" w:beforeAutospacing="0" w:after="0" w:afterAutospacing="0"/>
            </w:pPr>
            <w:r>
              <w:t>Regional Trade Agreements (RTA)</w:t>
            </w:r>
            <w:proofErr w:type="gramStart"/>
            <w:r>
              <w:t>-  ii</w:t>
            </w:r>
            <w:proofErr w:type="gramEnd"/>
            <w:r>
              <w:t xml:space="preserve">) Functions and current </w:t>
            </w:r>
            <w:proofErr w:type="spellStart"/>
            <w:r>
              <w:t>relivance</w:t>
            </w:r>
            <w:proofErr w:type="spellEnd"/>
            <w:r>
              <w:t>.</w:t>
            </w:r>
          </w:p>
        </w:tc>
      </w:tr>
      <w:tr w:rsidR="005E31A6">
        <w:tc>
          <w:tcPr>
            <w:tcW w:w="1848" w:type="dxa"/>
          </w:tcPr>
          <w:p w:rsidR="005E31A6" w:rsidRDefault="00000000">
            <w:pPr>
              <w:spacing w:after="0" w:line="240" w:lineRule="auto"/>
              <w:rPr>
                <w:sz w:val="24"/>
                <w:szCs w:val="24"/>
              </w:rPr>
            </w:pPr>
            <w:r>
              <w:rPr>
                <w:sz w:val="24"/>
                <w:szCs w:val="24"/>
              </w:rPr>
              <w:t>28</w:t>
            </w:r>
          </w:p>
        </w:tc>
        <w:tc>
          <w:tcPr>
            <w:tcW w:w="8180" w:type="dxa"/>
          </w:tcPr>
          <w:p w:rsidR="005E31A6" w:rsidRDefault="00000000">
            <w:pPr>
              <w:pStyle w:val="NormalWeb"/>
              <w:spacing w:before="0" w:beforeAutospacing="0" w:after="0" w:afterAutospacing="0"/>
            </w:pPr>
            <w:r>
              <w:rPr>
                <w:b/>
                <w:bCs/>
              </w:rPr>
              <w:t>Activity</w:t>
            </w:r>
          </w:p>
        </w:tc>
      </w:tr>
      <w:tr w:rsidR="005E31A6">
        <w:tc>
          <w:tcPr>
            <w:tcW w:w="1848" w:type="dxa"/>
            <w:shd w:val="clear" w:color="auto" w:fill="FFFF00"/>
          </w:tcPr>
          <w:p w:rsidR="005E31A6" w:rsidRDefault="00000000">
            <w:pPr>
              <w:spacing w:after="0" w:line="240" w:lineRule="auto"/>
              <w:rPr>
                <w:b/>
                <w:sz w:val="24"/>
                <w:szCs w:val="24"/>
              </w:rPr>
            </w:pPr>
            <w:r>
              <w:rPr>
                <w:rFonts w:eastAsia="Times New Roman"/>
                <w:b/>
                <w:sz w:val="24"/>
                <w:szCs w:val="24"/>
              </w:rPr>
              <w:t>Unit 4:</w:t>
            </w:r>
          </w:p>
        </w:tc>
        <w:tc>
          <w:tcPr>
            <w:tcW w:w="8180" w:type="dxa"/>
            <w:shd w:val="clear" w:color="auto" w:fill="FFFF00"/>
          </w:tcPr>
          <w:p w:rsidR="005E31A6" w:rsidRDefault="00000000">
            <w:pPr>
              <w:rPr>
                <w:b/>
                <w:sz w:val="24"/>
                <w:szCs w:val="24"/>
              </w:rPr>
            </w:pPr>
            <w:r>
              <w:rPr>
                <w:rFonts w:eastAsia="Times New Roman"/>
                <w:b/>
                <w:sz w:val="24"/>
                <w:szCs w:val="24"/>
              </w:rPr>
              <w:t xml:space="preserve"> Foreign Exchange</w:t>
            </w:r>
          </w:p>
        </w:tc>
      </w:tr>
      <w:tr w:rsidR="005E31A6">
        <w:trPr>
          <w:trHeight w:val="285"/>
        </w:trPr>
        <w:tc>
          <w:tcPr>
            <w:tcW w:w="1848" w:type="dxa"/>
          </w:tcPr>
          <w:p w:rsidR="005E31A6" w:rsidRDefault="00000000">
            <w:pPr>
              <w:spacing w:after="0" w:line="240" w:lineRule="auto"/>
              <w:rPr>
                <w:sz w:val="24"/>
                <w:szCs w:val="24"/>
              </w:rPr>
            </w:pPr>
            <w:r>
              <w:rPr>
                <w:sz w:val="24"/>
                <w:szCs w:val="24"/>
              </w:rPr>
              <w:t>29</w:t>
            </w:r>
          </w:p>
        </w:tc>
        <w:tc>
          <w:tcPr>
            <w:tcW w:w="8180" w:type="dxa"/>
          </w:tcPr>
          <w:p w:rsidR="005E31A6" w:rsidRDefault="00000000">
            <w:pPr>
              <w:pStyle w:val="NormalWeb"/>
              <w:spacing w:before="0" w:beforeAutospacing="0" w:after="0" w:afterAutospacing="0"/>
              <w:rPr>
                <w:rFonts w:eastAsia="Calibri"/>
                <w:color w:val="000000"/>
                <w:highlight w:val="yellow"/>
                <w:shd w:val="clear" w:color="auto" w:fill="FFFFFF"/>
              </w:rPr>
            </w:pPr>
            <w:r>
              <w:t>Introduction to Foreign Exchange Market</w:t>
            </w:r>
          </w:p>
        </w:tc>
      </w:tr>
      <w:tr w:rsidR="005E31A6">
        <w:trPr>
          <w:trHeight w:val="265"/>
        </w:trPr>
        <w:tc>
          <w:tcPr>
            <w:tcW w:w="1848" w:type="dxa"/>
          </w:tcPr>
          <w:p w:rsidR="005E31A6" w:rsidRDefault="00000000">
            <w:pPr>
              <w:spacing w:after="0" w:line="240" w:lineRule="auto"/>
              <w:rPr>
                <w:sz w:val="24"/>
                <w:szCs w:val="24"/>
              </w:rPr>
            </w:pPr>
            <w:r>
              <w:rPr>
                <w:sz w:val="24"/>
                <w:szCs w:val="24"/>
              </w:rPr>
              <w:t>30</w:t>
            </w:r>
          </w:p>
        </w:tc>
        <w:tc>
          <w:tcPr>
            <w:tcW w:w="8180" w:type="dxa"/>
          </w:tcPr>
          <w:p w:rsidR="005E31A6" w:rsidRDefault="00000000">
            <w:pPr>
              <w:spacing w:after="0" w:line="240" w:lineRule="auto"/>
              <w:rPr>
                <w:rFonts w:eastAsia="Times New Roman"/>
                <w:sz w:val="24"/>
                <w:szCs w:val="24"/>
              </w:rPr>
            </w:pPr>
            <w:r>
              <w:rPr>
                <w:rFonts w:eastAsia="Times New Roman"/>
                <w:sz w:val="24"/>
                <w:szCs w:val="24"/>
              </w:rPr>
              <w:t xml:space="preserve">Rate </w:t>
            </w:r>
            <w:proofErr w:type="gramStart"/>
            <w:r>
              <w:rPr>
                <w:rFonts w:eastAsia="Times New Roman"/>
                <w:sz w:val="24"/>
                <w:szCs w:val="24"/>
              </w:rPr>
              <w:t>of  exchange</w:t>
            </w:r>
            <w:proofErr w:type="gramEnd"/>
            <w:r>
              <w:rPr>
                <w:rFonts w:eastAsia="Times New Roman"/>
                <w:sz w:val="24"/>
                <w:szCs w:val="24"/>
              </w:rPr>
              <w:t>,  Theories of foreign exchange</w:t>
            </w:r>
          </w:p>
        </w:tc>
      </w:tr>
      <w:tr w:rsidR="005E31A6">
        <w:trPr>
          <w:trHeight w:val="285"/>
        </w:trPr>
        <w:tc>
          <w:tcPr>
            <w:tcW w:w="1848" w:type="dxa"/>
          </w:tcPr>
          <w:p w:rsidR="005E31A6" w:rsidRDefault="00000000">
            <w:pPr>
              <w:spacing w:after="0" w:line="240" w:lineRule="auto"/>
              <w:rPr>
                <w:sz w:val="24"/>
                <w:szCs w:val="24"/>
              </w:rPr>
            </w:pPr>
            <w:r>
              <w:rPr>
                <w:sz w:val="24"/>
                <w:szCs w:val="24"/>
              </w:rPr>
              <w:t>31</w:t>
            </w:r>
          </w:p>
        </w:tc>
        <w:tc>
          <w:tcPr>
            <w:tcW w:w="8180" w:type="dxa"/>
          </w:tcPr>
          <w:p w:rsidR="005E31A6" w:rsidRDefault="00000000">
            <w:pPr>
              <w:spacing w:after="0" w:line="240" w:lineRule="auto"/>
              <w:rPr>
                <w:rFonts w:eastAsia="Times New Roman"/>
                <w:sz w:val="24"/>
                <w:szCs w:val="24"/>
              </w:rPr>
            </w:pPr>
            <w:r>
              <w:rPr>
                <w:rFonts w:eastAsia="Times New Roman"/>
                <w:sz w:val="24"/>
                <w:szCs w:val="24"/>
              </w:rPr>
              <w:t>Mint parity theory</w:t>
            </w:r>
          </w:p>
        </w:tc>
      </w:tr>
      <w:tr w:rsidR="005E31A6">
        <w:trPr>
          <w:trHeight w:val="345"/>
        </w:trPr>
        <w:tc>
          <w:tcPr>
            <w:tcW w:w="1848" w:type="dxa"/>
          </w:tcPr>
          <w:p w:rsidR="005E31A6" w:rsidRDefault="00000000">
            <w:pPr>
              <w:spacing w:after="0" w:line="240" w:lineRule="auto"/>
              <w:rPr>
                <w:sz w:val="24"/>
                <w:szCs w:val="24"/>
              </w:rPr>
            </w:pPr>
            <w:r>
              <w:rPr>
                <w:sz w:val="24"/>
                <w:szCs w:val="24"/>
              </w:rPr>
              <w:t>32</w:t>
            </w:r>
          </w:p>
        </w:tc>
        <w:tc>
          <w:tcPr>
            <w:tcW w:w="8180" w:type="dxa"/>
          </w:tcPr>
          <w:p w:rsidR="005E31A6" w:rsidRDefault="00000000">
            <w:pPr>
              <w:spacing w:after="0" w:line="240" w:lineRule="auto"/>
              <w:rPr>
                <w:rFonts w:eastAsia="Times New Roman"/>
                <w:sz w:val="24"/>
                <w:szCs w:val="24"/>
              </w:rPr>
            </w:pPr>
            <w:r>
              <w:rPr>
                <w:rFonts w:eastAsia="Times New Roman"/>
                <w:sz w:val="24"/>
                <w:szCs w:val="24"/>
              </w:rPr>
              <w:t>Purchasing power parity theory (PPP)</w:t>
            </w:r>
          </w:p>
        </w:tc>
      </w:tr>
      <w:tr w:rsidR="005E31A6">
        <w:trPr>
          <w:trHeight w:val="295"/>
        </w:trPr>
        <w:tc>
          <w:tcPr>
            <w:tcW w:w="1848" w:type="dxa"/>
          </w:tcPr>
          <w:p w:rsidR="005E31A6" w:rsidRDefault="00000000">
            <w:pPr>
              <w:spacing w:after="0" w:line="240" w:lineRule="auto"/>
              <w:rPr>
                <w:sz w:val="24"/>
                <w:szCs w:val="24"/>
              </w:rPr>
            </w:pPr>
            <w:r>
              <w:rPr>
                <w:sz w:val="24"/>
                <w:szCs w:val="24"/>
              </w:rPr>
              <w:t>33</w:t>
            </w:r>
          </w:p>
        </w:tc>
        <w:tc>
          <w:tcPr>
            <w:tcW w:w="8180" w:type="dxa"/>
          </w:tcPr>
          <w:p w:rsidR="005E31A6" w:rsidRDefault="00000000">
            <w:pPr>
              <w:spacing w:after="0" w:line="240" w:lineRule="auto"/>
              <w:rPr>
                <w:rFonts w:eastAsia="Times New Roman"/>
                <w:sz w:val="24"/>
                <w:szCs w:val="24"/>
              </w:rPr>
            </w:pPr>
            <w:r>
              <w:rPr>
                <w:rFonts w:eastAsia="Times New Roman"/>
                <w:sz w:val="24"/>
                <w:szCs w:val="24"/>
              </w:rPr>
              <w:t>Factors affecting exchange rate</w:t>
            </w:r>
          </w:p>
        </w:tc>
      </w:tr>
      <w:tr w:rsidR="005E31A6">
        <w:trPr>
          <w:trHeight w:val="345"/>
        </w:trPr>
        <w:tc>
          <w:tcPr>
            <w:tcW w:w="1848" w:type="dxa"/>
          </w:tcPr>
          <w:p w:rsidR="005E31A6" w:rsidRDefault="00000000">
            <w:pPr>
              <w:spacing w:after="0" w:line="240" w:lineRule="auto"/>
              <w:rPr>
                <w:sz w:val="24"/>
                <w:szCs w:val="24"/>
              </w:rPr>
            </w:pPr>
            <w:r>
              <w:rPr>
                <w:sz w:val="24"/>
                <w:szCs w:val="24"/>
              </w:rPr>
              <w:t>34</w:t>
            </w:r>
          </w:p>
        </w:tc>
        <w:tc>
          <w:tcPr>
            <w:tcW w:w="8180" w:type="dxa"/>
          </w:tcPr>
          <w:p w:rsidR="005E31A6" w:rsidRDefault="00000000">
            <w:pPr>
              <w:spacing w:after="0" w:line="240" w:lineRule="auto"/>
              <w:rPr>
                <w:b/>
                <w:sz w:val="24"/>
                <w:szCs w:val="24"/>
              </w:rPr>
            </w:pPr>
            <w:r>
              <w:rPr>
                <w:rFonts w:eastAsia="Times New Roman"/>
                <w:sz w:val="24"/>
                <w:szCs w:val="24"/>
              </w:rPr>
              <w:t>Fixed and flexible exchange rate</w:t>
            </w:r>
          </w:p>
        </w:tc>
      </w:tr>
      <w:tr w:rsidR="005E31A6">
        <w:tc>
          <w:tcPr>
            <w:tcW w:w="1848" w:type="dxa"/>
          </w:tcPr>
          <w:p w:rsidR="005E31A6" w:rsidRDefault="00000000">
            <w:pPr>
              <w:spacing w:after="0" w:line="240" w:lineRule="auto"/>
              <w:rPr>
                <w:sz w:val="24"/>
                <w:szCs w:val="24"/>
              </w:rPr>
            </w:pPr>
            <w:r>
              <w:rPr>
                <w:sz w:val="24"/>
                <w:szCs w:val="24"/>
              </w:rPr>
              <w:t>35</w:t>
            </w:r>
          </w:p>
        </w:tc>
        <w:tc>
          <w:tcPr>
            <w:tcW w:w="8180" w:type="dxa"/>
          </w:tcPr>
          <w:p w:rsidR="005E31A6" w:rsidRDefault="00000000">
            <w:pPr>
              <w:spacing w:after="0" w:line="240" w:lineRule="auto"/>
              <w:rPr>
                <w:rFonts w:eastAsia="Calibri"/>
                <w:color w:val="222222"/>
                <w:sz w:val="24"/>
                <w:szCs w:val="24"/>
                <w:shd w:val="clear" w:color="auto" w:fill="FFFFFF"/>
              </w:rPr>
            </w:pPr>
            <w:r>
              <w:rPr>
                <w:rFonts w:eastAsia="Times New Roman"/>
                <w:sz w:val="24"/>
                <w:szCs w:val="24"/>
              </w:rPr>
              <w:t>Foreign Exchange Regulation Act (FERA)</w:t>
            </w:r>
          </w:p>
        </w:tc>
      </w:tr>
      <w:tr w:rsidR="005E31A6">
        <w:tc>
          <w:tcPr>
            <w:tcW w:w="1848" w:type="dxa"/>
          </w:tcPr>
          <w:p w:rsidR="005E31A6" w:rsidRDefault="00000000">
            <w:pPr>
              <w:spacing w:after="0" w:line="240" w:lineRule="auto"/>
              <w:rPr>
                <w:sz w:val="24"/>
                <w:szCs w:val="24"/>
              </w:rPr>
            </w:pPr>
            <w:r>
              <w:rPr>
                <w:sz w:val="24"/>
                <w:szCs w:val="24"/>
              </w:rPr>
              <w:lastRenderedPageBreak/>
              <w:t>36</w:t>
            </w:r>
          </w:p>
        </w:tc>
        <w:tc>
          <w:tcPr>
            <w:tcW w:w="8180" w:type="dxa"/>
          </w:tcPr>
          <w:p w:rsidR="005E31A6" w:rsidRDefault="00000000">
            <w:pPr>
              <w:spacing w:after="0" w:line="240" w:lineRule="auto"/>
              <w:rPr>
                <w:rFonts w:eastAsia="Times New Roman"/>
                <w:sz w:val="24"/>
                <w:szCs w:val="24"/>
              </w:rPr>
            </w:pPr>
            <w:r>
              <w:rPr>
                <w:rFonts w:eastAsia="Times New Roman"/>
                <w:sz w:val="24"/>
                <w:szCs w:val="24"/>
              </w:rPr>
              <w:t xml:space="preserve"> Foreign Exchange Management Act (FEMA</w:t>
            </w:r>
            <w:r>
              <w:rPr>
                <w:rFonts w:eastAsia="sans-serif"/>
                <w:color w:val="000000"/>
                <w:sz w:val="24"/>
                <w:szCs w:val="24"/>
                <w:shd w:val="clear" w:color="auto" w:fill="FFFFFF"/>
              </w:rPr>
              <w:t>)</w:t>
            </w:r>
          </w:p>
        </w:tc>
      </w:tr>
      <w:tr w:rsidR="005E31A6">
        <w:tc>
          <w:tcPr>
            <w:tcW w:w="1848" w:type="dxa"/>
          </w:tcPr>
          <w:p w:rsidR="005E31A6" w:rsidRDefault="00000000">
            <w:pPr>
              <w:spacing w:after="0" w:line="240" w:lineRule="auto"/>
              <w:rPr>
                <w:sz w:val="24"/>
                <w:szCs w:val="24"/>
              </w:rPr>
            </w:pPr>
            <w:r>
              <w:rPr>
                <w:sz w:val="24"/>
                <w:szCs w:val="24"/>
              </w:rPr>
              <w:t>37</w:t>
            </w:r>
          </w:p>
        </w:tc>
        <w:tc>
          <w:tcPr>
            <w:tcW w:w="8180" w:type="dxa"/>
          </w:tcPr>
          <w:p w:rsidR="005E31A6" w:rsidRDefault="00000000">
            <w:pPr>
              <w:spacing w:after="0" w:line="240" w:lineRule="auto"/>
              <w:rPr>
                <w:rFonts w:eastAsia="Calibri"/>
                <w:color w:val="222222"/>
                <w:sz w:val="24"/>
                <w:szCs w:val="24"/>
                <w:shd w:val="clear" w:color="auto" w:fill="FFFFFF"/>
              </w:rPr>
            </w:pPr>
            <w:r>
              <w:rPr>
                <w:rFonts w:eastAsia="Calibri"/>
                <w:b/>
                <w:bCs/>
                <w:color w:val="222222"/>
                <w:sz w:val="24"/>
                <w:szCs w:val="24"/>
                <w:shd w:val="clear" w:color="auto" w:fill="FFFFFF"/>
              </w:rPr>
              <w:t>Activity</w:t>
            </w:r>
          </w:p>
        </w:tc>
      </w:tr>
      <w:tr w:rsidR="005E31A6">
        <w:tc>
          <w:tcPr>
            <w:tcW w:w="1848" w:type="dxa"/>
            <w:shd w:val="clear" w:color="auto" w:fill="FFFF00"/>
          </w:tcPr>
          <w:p w:rsidR="005E31A6" w:rsidRDefault="00000000">
            <w:pPr>
              <w:spacing w:after="0" w:line="240" w:lineRule="auto"/>
              <w:rPr>
                <w:sz w:val="24"/>
                <w:szCs w:val="24"/>
              </w:rPr>
            </w:pPr>
            <w:r>
              <w:rPr>
                <w:rFonts w:eastAsia="Times New Roman"/>
                <w:b/>
                <w:sz w:val="24"/>
                <w:szCs w:val="24"/>
              </w:rPr>
              <w:t>Unit 5:</w:t>
            </w:r>
          </w:p>
        </w:tc>
        <w:tc>
          <w:tcPr>
            <w:tcW w:w="8180" w:type="dxa"/>
            <w:shd w:val="clear" w:color="auto" w:fill="FFFF00"/>
          </w:tcPr>
          <w:p w:rsidR="005E31A6" w:rsidRDefault="00000000">
            <w:pPr>
              <w:spacing w:after="0" w:line="240" w:lineRule="auto"/>
              <w:rPr>
                <w:rFonts w:eastAsia="Calibri"/>
                <w:color w:val="222222"/>
                <w:sz w:val="24"/>
                <w:szCs w:val="24"/>
                <w:shd w:val="clear" w:color="auto" w:fill="FFFFFF"/>
              </w:rPr>
            </w:pPr>
            <w:r>
              <w:rPr>
                <w:rFonts w:eastAsia="Times New Roman"/>
                <w:b/>
                <w:sz w:val="24"/>
                <w:szCs w:val="24"/>
              </w:rPr>
              <w:t>EXIM Policies and Analysis of Economic Survey Data</w:t>
            </w:r>
          </w:p>
        </w:tc>
      </w:tr>
      <w:tr w:rsidR="005E31A6">
        <w:tc>
          <w:tcPr>
            <w:tcW w:w="1848" w:type="dxa"/>
          </w:tcPr>
          <w:p w:rsidR="005E31A6" w:rsidRDefault="00000000">
            <w:pPr>
              <w:spacing w:after="0" w:line="240" w:lineRule="auto"/>
              <w:rPr>
                <w:sz w:val="24"/>
                <w:szCs w:val="24"/>
              </w:rPr>
            </w:pPr>
            <w:r>
              <w:rPr>
                <w:sz w:val="24"/>
                <w:szCs w:val="24"/>
              </w:rPr>
              <w:t>38</w:t>
            </w:r>
          </w:p>
        </w:tc>
        <w:tc>
          <w:tcPr>
            <w:tcW w:w="8180" w:type="dxa"/>
          </w:tcPr>
          <w:p w:rsidR="005E31A6" w:rsidRDefault="00000000">
            <w:pPr>
              <w:spacing w:after="0" w:line="240" w:lineRule="auto"/>
              <w:rPr>
                <w:rFonts w:eastAsia="Calibri"/>
                <w:color w:val="222222"/>
                <w:sz w:val="24"/>
                <w:szCs w:val="24"/>
                <w:shd w:val="clear" w:color="auto" w:fill="FFFFFF"/>
              </w:rPr>
            </w:pPr>
            <w:r>
              <w:rPr>
                <w:rFonts w:eastAsia="Times New Roman"/>
                <w:sz w:val="24"/>
                <w:szCs w:val="24"/>
              </w:rPr>
              <w:t xml:space="preserve">Export-Import policy  </w:t>
            </w:r>
          </w:p>
        </w:tc>
      </w:tr>
      <w:tr w:rsidR="005E31A6">
        <w:tc>
          <w:tcPr>
            <w:tcW w:w="1848" w:type="dxa"/>
          </w:tcPr>
          <w:p w:rsidR="005E31A6" w:rsidRDefault="00000000">
            <w:pPr>
              <w:spacing w:after="0" w:line="240" w:lineRule="auto"/>
              <w:rPr>
                <w:sz w:val="24"/>
                <w:szCs w:val="24"/>
              </w:rPr>
            </w:pPr>
            <w:r>
              <w:rPr>
                <w:sz w:val="24"/>
                <w:szCs w:val="24"/>
              </w:rPr>
              <w:t>39</w:t>
            </w:r>
          </w:p>
        </w:tc>
        <w:tc>
          <w:tcPr>
            <w:tcW w:w="8180" w:type="dxa"/>
          </w:tcPr>
          <w:p w:rsidR="005E31A6" w:rsidRDefault="00000000">
            <w:pPr>
              <w:pStyle w:val="NormalWeb"/>
              <w:spacing w:before="0" w:beforeAutospacing="0" w:after="0" w:afterAutospacing="0"/>
              <w:rPr>
                <w:rFonts w:eastAsia="Calibri"/>
                <w:color w:val="222222"/>
                <w:shd w:val="clear" w:color="auto" w:fill="FFFFFF"/>
              </w:rPr>
            </w:pPr>
            <w:r>
              <w:t>Impact on Indian Economy</w:t>
            </w:r>
          </w:p>
        </w:tc>
      </w:tr>
      <w:tr w:rsidR="005E31A6">
        <w:tc>
          <w:tcPr>
            <w:tcW w:w="1848" w:type="dxa"/>
          </w:tcPr>
          <w:p w:rsidR="005E31A6" w:rsidRDefault="00000000">
            <w:pPr>
              <w:spacing w:after="0" w:line="240" w:lineRule="auto"/>
              <w:rPr>
                <w:sz w:val="24"/>
                <w:szCs w:val="24"/>
              </w:rPr>
            </w:pPr>
            <w:r>
              <w:rPr>
                <w:sz w:val="24"/>
                <w:szCs w:val="24"/>
              </w:rPr>
              <w:t>40</w:t>
            </w:r>
          </w:p>
        </w:tc>
        <w:tc>
          <w:tcPr>
            <w:tcW w:w="8180" w:type="dxa"/>
          </w:tcPr>
          <w:p w:rsidR="005E31A6" w:rsidRDefault="00000000">
            <w:pPr>
              <w:pStyle w:val="NormalWeb"/>
              <w:spacing w:before="0" w:beforeAutospacing="0" w:after="0" w:afterAutospacing="0"/>
              <w:rPr>
                <w:highlight w:val="white"/>
              </w:rPr>
            </w:pPr>
            <w:r>
              <w:rPr>
                <w:highlight w:val="white"/>
              </w:rPr>
              <w:t>Recent budgetary policies</w:t>
            </w:r>
          </w:p>
        </w:tc>
      </w:tr>
      <w:tr w:rsidR="005E31A6">
        <w:tc>
          <w:tcPr>
            <w:tcW w:w="1848" w:type="dxa"/>
          </w:tcPr>
          <w:p w:rsidR="005E31A6" w:rsidRDefault="00000000">
            <w:pPr>
              <w:spacing w:after="0" w:line="240" w:lineRule="auto"/>
              <w:rPr>
                <w:sz w:val="24"/>
                <w:szCs w:val="24"/>
              </w:rPr>
            </w:pPr>
            <w:r>
              <w:rPr>
                <w:sz w:val="24"/>
                <w:szCs w:val="24"/>
              </w:rPr>
              <w:t>41</w:t>
            </w:r>
          </w:p>
        </w:tc>
        <w:tc>
          <w:tcPr>
            <w:tcW w:w="8180" w:type="dxa"/>
          </w:tcPr>
          <w:p w:rsidR="005E31A6" w:rsidRDefault="00000000">
            <w:pPr>
              <w:pStyle w:val="NormalWeb"/>
              <w:spacing w:before="0" w:beforeAutospacing="0" w:after="0" w:afterAutospacing="0"/>
              <w:rPr>
                <w:highlight w:val="white"/>
              </w:rPr>
            </w:pPr>
            <w:r>
              <w:rPr>
                <w:highlight w:val="white"/>
              </w:rPr>
              <w:t xml:space="preserve">Analysis of Economic Survey </w:t>
            </w:r>
            <w:proofErr w:type="spellStart"/>
            <w:proofErr w:type="gramStart"/>
            <w:r>
              <w:rPr>
                <w:highlight w:val="white"/>
              </w:rPr>
              <w:t>data:Global</w:t>
            </w:r>
            <w:proofErr w:type="spellEnd"/>
            <w:proofErr w:type="gramEnd"/>
            <w:r>
              <w:rPr>
                <w:highlight w:val="white"/>
              </w:rPr>
              <w:t xml:space="preserve"> scenario; India’s growing and diversifying trade</w:t>
            </w:r>
          </w:p>
        </w:tc>
      </w:tr>
      <w:tr w:rsidR="005E31A6">
        <w:tc>
          <w:tcPr>
            <w:tcW w:w="1848" w:type="dxa"/>
          </w:tcPr>
          <w:p w:rsidR="005E31A6" w:rsidRDefault="00000000">
            <w:pPr>
              <w:spacing w:after="0" w:line="240" w:lineRule="auto"/>
              <w:rPr>
                <w:sz w:val="24"/>
                <w:szCs w:val="24"/>
              </w:rPr>
            </w:pPr>
            <w:r>
              <w:rPr>
                <w:sz w:val="24"/>
                <w:szCs w:val="24"/>
              </w:rPr>
              <w:t>42</w:t>
            </w:r>
          </w:p>
        </w:tc>
        <w:tc>
          <w:tcPr>
            <w:tcW w:w="8180" w:type="dxa"/>
          </w:tcPr>
          <w:p w:rsidR="005E31A6" w:rsidRDefault="00000000">
            <w:pPr>
              <w:pStyle w:val="NormalWeb"/>
              <w:spacing w:before="0" w:beforeAutospacing="0" w:after="0" w:afterAutospacing="0"/>
              <w:rPr>
                <w:highlight w:val="white"/>
              </w:rPr>
            </w:pPr>
            <w:r>
              <w:rPr>
                <w:highlight w:val="white"/>
              </w:rPr>
              <w:t xml:space="preserve">Analysis of Economic Survey data: Balance of Payments </w:t>
            </w:r>
          </w:p>
        </w:tc>
      </w:tr>
      <w:tr w:rsidR="005E31A6">
        <w:tc>
          <w:tcPr>
            <w:tcW w:w="1848" w:type="dxa"/>
          </w:tcPr>
          <w:p w:rsidR="005E31A6" w:rsidRDefault="00000000">
            <w:pPr>
              <w:spacing w:after="0" w:line="240" w:lineRule="auto"/>
              <w:rPr>
                <w:sz w:val="24"/>
                <w:szCs w:val="24"/>
              </w:rPr>
            </w:pPr>
            <w:r>
              <w:rPr>
                <w:sz w:val="24"/>
                <w:szCs w:val="24"/>
              </w:rPr>
              <w:t>43</w:t>
            </w:r>
          </w:p>
        </w:tc>
        <w:tc>
          <w:tcPr>
            <w:tcW w:w="8180" w:type="dxa"/>
          </w:tcPr>
          <w:p w:rsidR="005E31A6" w:rsidRDefault="00000000">
            <w:pPr>
              <w:pStyle w:val="NormalWeb"/>
              <w:spacing w:before="0" w:beforeAutospacing="0" w:after="0" w:afterAutospacing="0"/>
              <w:rPr>
                <w:highlight w:val="white"/>
              </w:rPr>
            </w:pPr>
            <w:r>
              <w:rPr>
                <w:highlight w:val="white"/>
              </w:rPr>
              <w:t>Analysis of Economic Survey data: Exchange Rates Moving in Tandem with Global Developments</w:t>
            </w:r>
          </w:p>
        </w:tc>
      </w:tr>
      <w:tr w:rsidR="005E31A6">
        <w:trPr>
          <w:trHeight w:val="305"/>
        </w:trPr>
        <w:tc>
          <w:tcPr>
            <w:tcW w:w="1848" w:type="dxa"/>
          </w:tcPr>
          <w:p w:rsidR="005E31A6" w:rsidRDefault="00000000">
            <w:pPr>
              <w:spacing w:after="0" w:line="240" w:lineRule="auto"/>
              <w:rPr>
                <w:sz w:val="24"/>
                <w:szCs w:val="24"/>
              </w:rPr>
            </w:pPr>
            <w:r>
              <w:rPr>
                <w:sz w:val="24"/>
                <w:szCs w:val="24"/>
              </w:rPr>
              <w:t>44</w:t>
            </w:r>
          </w:p>
        </w:tc>
        <w:tc>
          <w:tcPr>
            <w:tcW w:w="8180" w:type="dxa"/>
          </w:tcPr>
          <w:p w:rsidR="005E31A6" w:rsidRDefault="00000000">
            <w:pPr>
              <w:pStyle w:val="NormalWeb"/>
              <w:spacing w:before="0" w:beforeAutospacing="0" w:after="0" w:afterAutospacing="0"/>
              <w:rPr>
                <w:rFonts w:eastAsia="Calibri"/>
                <w:b/>
                <w:bCs/>
                <w:color w:val="222222"/>
                <w:shd w:val="clear" w:color="auto" w:fill="FFFFFF"/>
              </w:rPr>
            </w:pPr>
            <w:r>
              <w:rPr>
                <w:rFonts w:eastAsia="Calibri"/>
                <w:b/>
                <w:bCs/>
                <w:color w:val="222222"/>
                <w:shd w:val="clear" w:color="auto" w:fill="FFFFFF"/>
              </w:rPr>
              <w:t>Activity</w:t>
            </w:r>
          </w:p>
        </w:tc>
      </w:tr>
      <w:tr w:rsidR="005E31A6">
        <w:trPr>
          <w:trHeight w:val="435"/>
        </w:trPr>
        <w:tc>
          <w:tcPr>
            <w:tcW w:w="1848" w:type="dxa"/>
          </w:tcPr>
          <w:p w:rsidR="005E31A6" w:rsidRDefault="00000000">
            <w:pPr>
              <w:spacing w:after="0" w:line="240" w:lineRule="auto"/>
              <w:rPr>
                <w:sz w:val="24"/>
                <w:szCs w:val="24"/>
              </w:rPr>
            </w:pPr>
            <w:r>
              <w:rPr>
                <w:sz w:val="24"/>
                <w:szCs w:val="24"/>
              </w:rPr>
              <w:t>45</w:t>
            </w:r>
          </w:p>
        </w:tc>
        <w:tc>
          <w:tcPr>
            <w:tcW w:w="8180" w:type="dxa"/>
          </w:tcPr>
          <w:p w:rsidR="005E31A6" w:rsidRDefault="00000000">
            <w:pPr>
              <w:pStyle w:val="NormalWeb"/>
              <w:spacing w:before="0" w:beforeAutospacing="0" w:after="0" w:afterAutospacing="0"/>
              <w:rPr>
                <w:rFonts w:eastAsia="Calibri"/>
                <w:b/>
                <w:bCs/>
                <w:color w:val="222222"/>
                <w:shd w:val="clear" w:color="auto" w:fill="FFFFFF"/>
              </w:rPr>
            </w:pPr>
            <w:r>
              <w:rPr>
                <w:rFonts w:eastAsia="Calibri"/>
                <w:b/>
                <w:bCs/>
                <w:color w:val="222222"/>
                <w:shd w:val="clear" w:color="auto" w:fill="FFFFFF"/>
              </w:rPr>
              <w:t>Activity</w:t>
            </w:r>
          </w:p>
        </w:tc>
      </w:tr>
    </w:tbl>
    <w:p w:rsidR="005E31A6" w:rsidRDefault="005E31A6">
      <w:pPr>
        <w:spacing w:after="0"/>
        <w:rPr>
          <w:b/>
          <w:bCs/>
          <w:sz w:val="24"/>
          <w:szCs w:val="24"/>
        </w:rPr>
      </w:pPr>
    </w:p>
    <w:p w:rsidR="005E31A6" w:rsidRDefault="00000000">
      <w:pPr>
        <w:spacing w:after="0"/>
        <w:rPr>
          <w:b/>
          <w:bCs/>
          <w:sz w:val="24"/>
          <w:szCs w:val="24"/>
        </w:rPr>
      </w:pPr>
      <w:r>
        <w:rPr>
          <w:b/>
          <w:bCs/>
          <w:sz w:val="24"/>
          <w:szCs w:val="24"/>
        </w:rPr>
        <w:t>Activity Based Learning Details:</w:t>
      </w:r>
    </w:p>
    <w:p w:rsidR="005E31A6" w:rsidRDefault="005E31A6">
      <w:pPr>
        <w:spacing w:after="0"/>
        <w:rPr>
          <w:b/>
          <w:b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8"/>
        <w:gridCol w:w="4060"/>
        <w:gridCol w:w="1184"/>
        <w:gridCol w:w="2394"/>
      </w:tblGrid>
      <w:tr w:rsidR="005E31A6">
        <w:tc>
          <w:tcPr>
            <w:tcW w:w="1938" w:type="dxa"/>
            <w:shd w:val="clear" w:color="auto" w:fill="FDDBC0"/>
          </w:tcPr>
          <w:p w:rsidR="005E31A6" w:rsidRDefault="00000000">
            <w:pPr>
              <w:spacing w:after="0" w:line="240" w:lineRule="auto"/>
              <w:jc w:val="center"/>
              <w:rPr>
                <w:sz w:val="24"/>
                <w:szCs w:val="24"/>
              </w:rPr>
            </w:pPr>
            <w:r>
              <w:rPr>
                <w:sz w:val="24"/>
                <w:szCs w:val="24"/>
              </w:rPr>
              <w:t>Activity Number</w:t>
            </w:r>
          </w:p>
        </w:tc>
        <w:tc>
          <w:tcPr>
            <w:tcW w:w="4060" w:type="dxa"/>
            <w:shd w:val="clear" w:color="auto" w:fill="FDDBC0"/>
          </w:tcPr>
          <w:p w:rsidR="005E31A6" w:rsidRDefault="00000000">
            <w:pPr>
              <w:spacing w:after="0" w:line="240" w:lineRule="auto"/>
              <w:jc w:val="center"/>
              <w:rPr>
                <w:sz w:val="24"/>
                <w:szCs w:val="24"/>
              </w:rPr>
            </w:pPr>
            <w:r>
              <w:rPr>
                <w:sz w:val="24"/>
                <w:szCs w:val="24"/>
              </w:rPr>
              <w:t>Nature</w:t>
            </w:r>
          </w:p>
        </w:tc>
        <w:tc>
          <w:tcPr>
            <w:tcW w:w="1184" w:type="dxa"/>
            <w:shd w:val="clear" w:color="auto" w:fill="FDDBC0"/>
          </w:tcPr>
          <w:p w:rsidR="005E31A6" w:rsidRDefault="00000000">
            <w:pPr>
              <w:spacing w:after="0" w:line="240" w:lineRule="auto"/>
              <w:jc w:val="center"/>
              <w:rPr>
                <w:sz w:val="24"/>
                <w:szCs w:val="24"/>
              </w:rPr>
            </w:pPr>
            <w:r>
              <w:rPr>
                <w:sz w:val="24"/>
                <w:szCs w:val="24"/>
              </w:rPr>
              <w:t>Marks</w:t>
            </w:r>
          </w:p>
        </w:tc>
        <w:tc>
          <w:tcPr>
            <w:tcW w:w="2394" w:type="dxa"/>
            <w:shd w:val="clear" w:color="auto" w:fill="FDDBC0"/>
          </w:tcPr>
          <w:p w:rsidR="005E31A6" w:rsidRDefault="00000000">
            <w:pPr>
              <w:spacing w:after="0" w:line="240" w:lineRule="auto"/>
              <w:jc w:val="center"/>
              <w:rPr>
                <w:sz w:val="24"/>
                <w:szCs w:val="24"/>
              </w:rPr>
            </w:pPr>
            <w:r>
              <w:rPr>
                <w:sz w:val="24"/>
                <w:szCs w:val="24"/>
              </w:rPr>
              <w:t>Tentative Timing</w:t>
            </w:r>
          </w:p>
        </w:tc>
      </w:tr>
      <w:tr w:rsidR="005E31A6">
        <w:tc>
          <w:tcPr>
            <w:tcW w:w="1938" w:type="dxa"/>
          </w:tcPr>
          <w:p w:rsidR="005E31A6" w:rsidRDefault="00000000">
            <w:pPr>
              <w:spacing w:after="0" w:line="240" w:lineRule="auto"/>
              <w:rPr>
                <w:sz w:val="24"/>
                <w:szCs w:val="24"/>
              </w:rPr>
            </w:pPr>
            <w:r>
              <w:rPr>
                <w:sz w:val="24"/>
                <w:szCs w:val="24"/>
              </w:rPr>
              <w:t>1</w:t>
            </w:r>
          </w:p>
        </w:tc>
        <w:tc>
          <w:tcPr>
            <w:tcW w:w="4060" w:type="dxa"/>
          </w:tcPr>
          <w:p w:rsidR="005E31A6" w:rsidRDefault="00000000">
            <w:pPr>
              <w:spacing w:after="0" w:line="240" w:lineRule="auto"/>
              <w:rPr>
                <w:sz w:val="24"/>
                <w:szCs w:val="24"/>
              </w:rPr>
            </w:pPr>
            <w:r>
              <w:rPr>
                <w:sz w:val="24"/>
                <w:szCs w:val="24"/>
              </w:rPr>
              <w:t>Activity 1- Class activity</w:t>
            </w:r>
          </w:p>
        </w:tc>
        <w:tc>
          <w:tcPr>
            <w:tcW w:w="1184" w:type="dxa"/>
          </w:tcPr>
          <w:p w:rsidR="005E31A6" w:rsidRDefault="00000000">
            <w:pPr>
              <w:spacing w:after="0" w:line="240" w:lineRule="auto"/>
              <w:rPr>
                <w:sz w:val="24"/>
                <w:szCs w:val="24"/>
              </w:rPr>
            </w:pPr>
            <w:r>
              <w:rPr>
                <w:sz w:val="24"/>
                <w:szCs w:val="24"/>
              </w:rPr>
              <w:t>5</w:t>
            </w:r>
          </w:p>
        </w:tc>
        <w:tc>
          <w:tcPr>
            <w:tcW w:w="2394" w:type="dxa"/>
          </w:tcPr>
          <w:p w:rsidR="005E31A6" w:rsidRDefault="00000000">
            <w:pPr>
              <w:spacing w:after="0" w:line="240" w:lineRule="auto"/>
              <w:rPr>
                <w:sz w:val="24"/>
                <w:szCs w:val="24"/>
              </w:rPr>
            </w:pPr>
            <w:r>
              <w:rPr>
                <w:sz w:val="24"/>
                <w:szCs w:val="24"/>
              </w:rPr>
              <w:t>Before Mid Semester</w:t>
            </w:r>
          </w:p>
        </w:tc>
      </w:tr>
      <w:tr w:rsidR="005E31A6">
        <w:tc>
          <w:tcPr>
            <w:tcW w:w="1938" w:type="dxa"/>
          </w:tcPr>
          <w:p w:rsidR="005E31A6" w:rsidRDefault="00000000">
            <w:pPr>
              <w:spacing w:after="0" w:line="240" w:lineRule="auto"/>
              <w:rPr>
                <w:sz w:val="24"/>
                <w:szCs w:val="24"/>
              </w:rPr>
            </w:pPr>
            <w:r>
              <w:rPr>
                <w:sz w:val="24"/>
                <w:szCs w:val="24"/>
              </w:rPr>
              <w:t>2</w:t>
            </w:r>
          </w:p>
        </w:tc>
        <w:tc>
          <w:tcPr>
            <w:tcW w:w="4060" w:type="dxa"/>
          </w:tcPr>
          <w:p w:rsidR="005E31A6" w:rsidRDefault="00000000">
            <w:pPr>
              <w:spacing w:after="0" w:line="240" w:lineRule="auto"/>
              <w:rPr>
                <w:sz w:val="24"/>
                <w:szCs w:val="24"/>
              </w:rPr>
            </w:pPr>
            <w:r>
              <w:rPr>
                <w:sz w:val="24"/>
                <w:szCs w:val="24"/>
              </w:rPr>
              <w:t>Activity 2- Class activity</w:t>
            </w:r>
          </w:p>
        </w:tc>
        <w:tc>
          <w:tcPr>
            <w:tcW w:w="1184" w:type="dxa"/>
          </w:tcPr>
          <w:p w:rsidR="005E31A6" w:rsidRDefault="00000000">
            <w:pPr>
              <w:spacing w:after="0" w:line="240" w:lineRule="auto"/>
              <w:rPr>
                <w:sz w:val="24"/>
                <w:szCs w:val="24"/>
              </w:rPr>
            </w:pPr>
            <w:r>
              <w:rPr>
                <w:sz w:val="24"/>
                <w:szCs w:val="24"/>
              </w:rPr>
              <w:t>5</w:t>
            </w:r>
          </w:p>
        </w:tc>
        <w:tc>
          <w:tcPr>
            <w:tcW w:w="2394" w:type="dxa"/>
          </w:tcPr>
          <w:p w:rsidR="005E31A6" w:rsidRDefault="00000000">
            <w:pPr>
              <w:spacing w:after="0" w:line="240" w:lineRule="auto"/>
              <w:rPr>
                <w:sz w:val="24"/>
                <w:szCs w:val="24"/>
              </w:rPr>
            </w:pPr>
            <w:r>
              <w:rPr>
                <w:sz w:val="24"/>
                <w:szCs w:val="24"/>
              </w:rPr>
              <w:t>Before Mid Semester</w:t>
            </w:r>
          </w:p>
        </w:tc>
      </w:tr>
      <w:tr w:rsidR="005E31A6">
        <w:tc>
          <w:tcPr>
            <w:tcW w:w="1938" w:type="dxa"/>
          </w:tcPr>
          <w:p w:rsidR="005E31A6" w:rsidRDefault="00000000">
            <w:pPr>
              <w:spacing w:after="0" w:line="240" w:lineRule="auto"/>
              <w:rPr>
                <w:sz w:val="24"/>
                <w:szCs w:val="24"/>
              </w:rPr>
            </w:pPr>
            <w:r>
              <w:rPr>
                <w:sz w:val="24"/>
                <w:szCs w:val="24"/>
              </w:rPr>
              <w:t>3</w:t>
            </w:r>
          </w:p>
        </w:tc>
        <w:tc>
          <w:tcPr>
            <w:tcW w:w="4060" w:type="dxa"/>
          </w:tcPr>
          <w:p w:rsidR="005E31A6" w:rsidRDefault="00000000">
            <w:pPr>
              <w:spacing w:after="0" w:line="240" w:lineRule="auto"/>
              <w:rPr>
                <w:sz w:val="24"/>
                <w:szCs w:val="24"/>
              </w:rPr>
            </w:pPr>
            <w:r>
              <w:rPr>
                <w:sz w:val="24"/>
                <w:szCs w:val="24"/>
              </w:rPr>
              <w:t>Activity 3</w:t>
            </w:r>
            <w:proofErr w:type="gramStart"/>
            <w:r>
              <w:rPr>
                <w:sz w:val="24"/>
                <w:szCs w:val="24"/>
              </w:rPr>
              <w:t>-  Assignment</w:t>
            </w:r>
            <w:proofErr w:type="gramEnd"/>
            <w:r>
              <w:rPr>
                <w:sz w:val="24"/>
                <w:szCs w:val="24"/>
              </w:rPr>
              <w:t xml:space="preserve">(Report write-up) </w:t>
            </w:r>
          </w:p>
        </w:tc>
        <w:tc>
          <w:tcPr>
            <w:tcW w:w="1184" w:type="dxa"/>
          </w:tcPr>
          <w:p w:rsidR="005E31A6" w:rsidRDefault="00000000">
            <w:pPr>
              <w:spacing w:after="0" w:line="240" w:lineRule="auto"/>
              <w:rPr>
                <w:sz w:val="24"/>
                <w:szCs w:val="24"/>
              </w:rPr>
            </w:pPr>
            <w:r>
              <w:rPr>
                <w:sz w:val="24"/>
                <w:szCs w:val="24"/>
              </w:rPr>
              <w:t>5</w:t>
            </w:r>
          </w:p>
        </w:tc>
        <w:tc>
          <w:tcPr>
            <w:tcW w:w="2394" w:type="dxa"/>
          </w:tcPr>
          <w:p w:rsidR="005E31A6" w:rsidRDefault="00000000">
            <w:pPr>
              <w:spacing w:after="0" w:line="240" w:lineRule="auto"/>
              <w:rPr>
                <w:sz w:val="24"/>
                <w:szCs w:val="24"/>
              </w:rPr>
            </w:pPr>
            <w:r>
              <w:rPr>
                <w:sz w:val="24"/>
                <w:szCs w:val="24"/>
              </w:rPr>
              <w:t>Before Mid Semester</w:t>
            </w:r>
          </w:p>
        </w:tc>
      </w:tr>
      <w:tr w:rsidR="005E31A6">
        <w:tc>
          <w:tcPr>
            <w:tcW w:w="1938" w:type="dxa"/>
          </w:tcPr>
          <w:p w:rsidR="005E31A6" w:rsidRDefault="00000000">
            <w:pPr>
              <w:spacing w:after="0" w:line="240" w:lineRule="auto"/>
              <w:rPr>
                <w:sz w:val="24"/>
                <w:szCs w:val="24"/>
              </w:rPr>
            </w:pPr>
            <w:r>
              <w:rPr>
                <w:sz w:val="24"/>
                <w:szCs w:val="24"/>
              </w:rPr>
              <w:t>4</w:t>
            </w:r>
          </w:p>
        </w:tc>
        <w:tc>
          <w:tcPr>
            <w:tcW w:w="4060" w:type="dxa"/>
          </w:tcPr>
          <w:p w:rsidR="005E31A6" w:rsidRDefault="00000000">
            <w:pPr>
              <w:spacing w:after="0" w:line="240" w:lineRule="auto"/>
              <w:rPr>
                <w:sz w:val="24"/>
                <w:szCs w:val="24"/>
              </w:rPr>
            </w:pPr>
            <w:r>
              <w:rPr>
                <w:sz w:val="24"/>
                <w:szCs w:val="24"/>
              </w:rPr>
              <w:t>Activity 4</w:t>
            </w:r>
            <w:proofErr w:type="gramStart"/>
            <w:r>
              <w:rPr>
                <w:sz w:val="24"/>
                <w:szCs w:val="24"/>
              </w:rPr>
              <w:t>-  Assignment</w:t>
            </w:r>
            <w:proofErr w:type="gramEnd"/>
            <w:r>
              <w:rPr>
                <w:sz w:val="24"/>
                <w:szCs w:val="24"/>
              </w:rPr>
              <w:t>(Case based)</w:t>
            </w:r>
          </w:p>
        </w:tc>
        <w:tc>
          <w:tcPr>
            <w:tcW w:w="1184" w:type="dxa"/>
          </w:tcPr>
          <w:p w:rsidR="005E31A6" w:rsidRDefault="00000000">
            <w:pPr>
              <w:spacing w:after="0" w:line="240" w:lineRule="auto"/>
              <w:rPr>
                <w:sz w:val="24"/>
                <w:szCs w:val="24"/>
              </w:rPr>
            </w:pPr>
            <w:r>
              <w:rPr>
                <w:sz w:val="24"/>
                <w:szCs w:val="24"/>
              </w:rPr>
              <w:t>5</w:t>
            </w:r>
          </w:p>
        </w:tc>
        <w:tc>
          <w:tcPr>
            <w:tcW w:w="2394" w:type="dxa"/>
          </w:tcPr>
          <w:p w:rsidR="005E31A6" w:rsidRDefault="00000000">
            <w:pPr>
              <w:spacing w:after="0" w:line="240" w:lineRule="auto"/>
              <w:rPr>
                <w:sz w:val="24"/>
                <w:szCs w:val="24"/>
              </w:rPr>
            </w:pPr>
            <w:r>
              <w:rPr>
                <w:sz w:val="24"/>
                <w:szCs w:val="24"/>
              </w:rPr>
              <w:t>After Mid Semester</w:t>
            </w:r>
          </w:p>
        </w:tc>
      </w:tr>
      <w:tr w:rsidR="005E31A6">
        <w:tc>
          <w:tcPr>
            <w:tcW w:w="1938" w:type="dxa"/>
          </w:tcPr>
          <w:p w:rsidR="005E31A6" w:rsidRDefault="00000000">
            <w:pPr>
              <w:spacing w:after="0" w:line="240" w:lineRule="auto"/>
              <w:rPr>
                <w:sz w:val="24"/>
                <w:szCs w:val="24"/>
              </w:rPr>
            </w:pPr>
            <w:r>
              <w:rPr>
                <w:sz w:val="24"/>
                <w:szCs w:val="24"/>
              </w:rPr>
              <w:t>5</w:t>
            </w:r>
          </w:p>
        </w:tc>
        <w:tc>
          <w:tcPr>
            <w:tcW w:w="4060" w:type="dxa"/>
          </w:tcPr>
          <w:p w:rsidR="005E31A6" w:rsidRDefault="00000000">
            <w:pPr>
              <w:spacing w:after="0" w:line="240" w:lineRule="auto"/>
              <w:rPr>
                <w:sz w:val="24"/>
                <w:szCs w:val="24"/>
              </w:rPr>
            </w:pPr>
            <w:r>
              <w:rPr>
                <w:sz w:val="24"/>
                <w:szCs w:val="24"/>
              </w:rPr>
              <w:t>Activity 5- PPT presentation</w:t>
            </w:r>
          </w:p>
        </w:tc>
        <w:tc>
          <w:tcPr>
            <w:tcW w:w="1184" w:type="dxa"/>
          </w:tcPr>
          <w:p w:rsidR="005E31A6" w:rsidRDefault="00000000">
            <w:pPr>
              <w:spacing w:after="0" w:line="240" w:lineRule="auto"/>
              <w:rPr>
                <w:sz w:val="24"/>
                <w:szCs w:val="24"/>
              </w:rPr>
            </w:pPr>
            <w:r>
              <w:rPr>
                <w:sz w:val="24"/>
                <w:szCs w:val="24"/>
              </w:rPr>
              <w:t>5</w:t>
            </w:r>
          </w:p>
        </w:tc>
        <w:tc>
          <w:tcPr>
            <w:tcW w:w="2394" w:type="dxa"/>
          </w:tcPr>
          <w:p w:rsidR="005E31A6" w:rsidRDefault="00000000">
            <w:pPr>
              <w:spacing w:after="0" w:line="240" w:lineRule="auto"/>
              <w:rPr>
                <w:sz w:val="24"/>
                <w:szCs w:val="24"/>
              </w:rPr>
            </w:pPr>
            <w:r>
              <w:rPr>
                <w:sz w:val="24"/>
                <w:szCs w:val="24"/>
              </w:rPr>
              <w:t>After Mid Semester</w:t>
            </w:r>
          </w:p>
        </w:tc>
      </w:tr>
      <w:tr w:rsidR="005E31A6">
        <w:tc>
          <w:tcPr>
            <w:tcW w:w="1938" w:type="dxa"/>
          </w:tcPr>
          <w:p w:rsidR="005E31A6" w:rsidRDefault="00000000">
            <w:pPr>
              <w:spacing w:after="0" w:line="240" w:lineRule="auto"/>
              <w:rPr>
                <w:sz w:val="24"/>
                <w:szCs w:val="24"/>
              </w:rPr>
            </w:pPr>
            <w:r>
              <w:rPr>
                <w:sz w:val="24"/>
                <w:szCs w:val="24"/>
              </w:rPr>
              <w:t>6</w:t>
            </w:r>
          </w:p>
        </w:tc>
        <w:tc>
          <w:tcPr>
            <w:tcW w:w="4060" w:type="dxa"/>
          </w:tcPr>
          <w:p w:rsidR="005E31A6" w:rsidRDefault="00000000">
            <w:pPr>
              <w:spacing w:after="0" w:line="240" w:lineRule="auto"/>
              <w:rPr>
                <w:sz w:val="24"/>
                <w:szCs w:val="24"/>
              </w:rPr>
            </w:pPr>
            <w:r>
              <w:rPr>
                <w:sz w:val="24"/>
                <w:szCs w:val="24"/>
              </w:rPr>
              <w:t>Activity 6- Viva/Class performance</w:t>
            </w:r>
          </w:p>
        </w:tc>
        <w:tc>
          <w:tcPr>
            <w:tcW w:w="1184" w:type="dxa"/>
          </w:tcPr>
          <w:p w:rsidR="005E31A6" w:rsidRDefault="00000000">
            <w:pPr>
              <w:spacing w:after="0" w:line="240" w:lineRule="auto"/>
              <w:rPr>
                <w:sz w:val="24"/>
                <w:szCs w:val="24"/>
              </w:rPr>
            </w:pPr>
            <w:r>
              <w:rPr>
                <w:sz w:val="24"/>
                <w:szCs w:val="24"/>
              </w:rPr>
              <w:t>5</w:t>
            </w:r>
          </w:p>
        </w:tc>
        <w:tc>
          <w:tcPr>
            <w:tcW w:w="2394" w:type="dxa"/>
          </w:tcPr>
          <w:p w:rsidR="005E31A6" w:rsidRDefault="00000000">
            <w:pPr>
              <w:spacing w:after="0" w:line="240" w:lineRule="auto"/>
              <w:rPr>
                <w:sz w:val="24"/>
                <w:szCs w:val="24"/>
              </w:rPr>
            </w:pPr>
            <w:r>
              <w:rPr>
                <w:sz w:val="24"/>
                <w:szCs w:val="24"/>
              </w:rPr>
              <w:t>After Mid Semester</w:t>
            </w:r>
          </w:p>
        </w:tc>
      </w:tr>
    </w:tbl>
    <w:p w:rsidR="005E31A6" w:rsidRDefault="005E31A6">
      <w:pPr>
        <w:spacing w:after="0"/>
      </w:pPr>
    </w:p>
    <w:p w:rsidR="005E31A6" w:rsidRDefault="00000000">
      <w:pPr>
        <w:pStyle w:val="Heading1"/>
        <w:keepNext w:val="0"/>
        <w:keepLines w:val="0"/>
        <w:spacing w:before="0" w:after="0"/>
      </w:pPr>
      <w:r>
        <w:rPr>
          <w:rFonts w:eastAsia="Times New Roman"/>
          <w:b/>
          <w:bCs/>
          <w:iCs/>
          <w:sz w:val="22"/>
          <w:szCs w:val="22"/>
        </w:rPr>
        <w:t xml:space="preserve">Text Book: </w:t>
      </w:r>
    </w:p>
    <w:p w:rsidR="005E31A6" w:rsidRDefault="00000000">
      <w:pPr>
        <w:pStyle w:val="Heading1"/>
        <w:keepNext w:val="0"/>
        <w:keepLines w:val="0"/>
        <w:numPr>
          <w:ilvl w:val="0"/>
          <w:numId w:val="1"/>
        </w:numPr>
        <w:spacing w:before="0" w:after="0"/>
        <w:rPr>
          <w:rFonts w:eastAsia="Times New Roman"/>
          <w:iCs/>
          <w:sz w:val="22"/>
          <w:szCs w:val="22"/>
        </w:rPr>
      </w:pPr>
      <w:r>
        <w:rPr>
          <w:rFonts w:eastAsia="Times New Roman"/>
          <w:iCs/>
          <w:sz w:val="22"/>
          <w:szCs w:val="22"/>
        </w:rPr>
        <w:t xml:space="preserve">R. R Paul, </w:t>
      </w:r>
      <w:r>
        <w:rPr>
          <w:rFonts w:eastAsia="Times New Roman"/>
          <w:i/>
          <w:sz w:val="22"/>
          <w:szCs w:val="22"/>
        </w:rPr>
        <w:t>Money Banking and International Trade</w:t>
      </w:r>
      <w:r>
        <w:rPr>
          <w:rFonts w:eastAsia="Times New Roman"/>
          <w:iCs/>
          <w:sz w:val="22"/>
          <w:szCs w:val="22"/>
        </w:rPr>
        <w:t xml:space="preserve">, Kalyani Publishers; 12th edition,2015, ISBN-10 </w:t>
      </w:r>
      <w:proofErr w:type="gramStart"/>
      <w:r>
        <w:rPr>
          <w:rFonts w:eastAsia="Times New Roman"/>
          <w:iCs/>
          <w:sz w:val="22"/>
          <w:szCs w:val="22"/>
        </w:rPr>
        <w:t>‏ :</w:t>
      </w:r>
      <w:proofErr w:type="gramEnd"/>
      <w:r>
        <w:rPr>
          <w:rFonts w:eastAsia="Times New Roman"/>
          <w:iCs/>
          <w:sz w:val="22"/>
          <w:szCs w:val="22"/>
        </w:rPr>
        <w:t xml:space="preserve"> ‎ </w:t>
      </w:r>
    </w:p>
    <w:p w:rsidR="005E31A6" w:rsidRDefault="00000000">
      <w:pPr>
        <w:pStyle w:val="Heading1"/>
        <w:keepNext w:val="0"/>
        <w:keepLines w:val="0"/>
        <w:spacing w:before="0" w:after="0"/>
        <w:ind w:firstLineChars="100" w:firstLine="220"/>
        <w:rPr>
          <w:rFonts w:eastAsia="Times New Roman"/>
          <w:iCs/>
          <w:sz w:val="22"/>
          <w:szCs w:val="22"/>
        </w:rPr>
      </w:pPr>
      <w:r>
        <w:rPr>
          <w:rFonts w:eastAsia="Times New Roman"/>
          <w:iCs/>
          <w:sz w:val="22"/>
          <w:szCs w:val="22"/>
        </w:rPr>
        <w:t xml:space="preserve">932725774X     ISBN-13 </w:t>
      </w:r>
      <w:proofErr w:type="gramStart"/>
      <w:r>
        <w:rPr>
          <w:rFonts w:eastAsia="Times New Roman"/>
          <w:iCs/>
          <w:sz w:val="22"/>
          <w:szCs w:val="22"/>
        </w:rPr>
        <w:t>‏ :</w:t>
      </w:r>
      <w:proofErr w:type="gramEnd"/>
      <w:r>
        <w:rPr>
          <w:rFonts w:eastAsia="Times New Roman"/>
          <w:iCs/>
          <w:sz w:val="22"/>
          <w:szCs w:val="22"/>
        </w:rPr>
        <w:t xml:space="preserve"> ‎ 978-9327257748</w:t>
      </w:r>
    </w:p>
    <w:p w:rsidR="005E31A6" w:rsidRDefault="005E31A6"/>
    <w:p w:rsidR="005E31A6" w:rsidRDefault="00000000">
      <w:pPr>
        <w:pStyle w:val="Heading1"/>
        <w:keepNext w:val="0"/>
        <w:keepLines w:val="0"/>
        <w:numPr>
          <w:ilvl w:val="0"/>
          <w:numId w:val="1"/>
        </w:numPr>
        <w:spacing w:before="0" w:after="0"/>
        <w:rPr>
          <w:rFonts w:eastAsia="Times New Roman"/>
          <w:iCs/>
          <w:sz w:val="22"/>
          <w:szCs w:val="22"/>
        </w:rPr>
      </w:pPr>
      <w:r>
        <w:rPr>
          <w:rFonts w:eastAsia="Times New Roman"/>
          <w:iCs/>
          <w:sz w:val="22"/>
          <w:szCs w:val="22"/>
        </w:rPr>
        <w:t xml:space="preserve">Bo </w:t>
      </w:r>
      <w:proofErr w:type="spellStart"/>
      <w:r>
        <w:rPr>
          <w:rFonts w:eastAsia="Times New Roman"/>
          <w:iCs/>
          <w:sz w:val="22"/>
          <w:szCs w:val="22"/>
        </w:rPr>
        <w:t>Södersten</w:t>
      </w:r>
      <w:proofErr w:type="spellEnd"/>
      <w:r>
        <w:rPr>
          <w:rFonts w:eastAsia="Times New Roman"/>
          <w:iCs/>
          <w:sz w:val="22"/>
          <w:szCs w:val="22"/>
        </w:rPr>
        <w:t xml:space="preserve"> and Geoffrey Reed, Palgrave Macmillan, International Economics. </w:t>
      </w:r>
      <w:proofErr w:type="gramStart"/>
      <w:r>
        <w:rPr>
          <w:rFonts w:eastAsia="Times New Roman"/>
          <w:iCs/>
          <w:sz w:val="22"/>
          <w:szCs w:val="22"/>
        </w:rPr>
        <w:t>1994,  ISBN</w:t>
      </w:r>
      <w:proofErr w:type="gramEnd"/>
      <w:r>
        <w:rPr>
          <w:rFonts w:eastAsia="Times New Roman"/>
          <w:iCs/>
          <w:sz w:val="22"/>
          <w:szCs w:val="22"/>
        </w:rPr>
        <w:t xml:space="preserve">-10 ‏ : ‎ </w:t>
      </w:r>
    </w:p>
    <w:p w:rsidR="005E31A6" w:rsidRDefault="00000000">
      <w:pPr>
        <w:pStyle w:val="Heading1"/>
        <w:keepNext w:val="0"/>
        <w:keepLines w:val="0"/>
        <w:spacing w:before="0" w:after="0"/>
        <w:ind w:firstLineChars="100" w:firstLine="220"/>
        <w:rPr>
          <w:rFonts w:eastAsia="Times New Roman"/>
          <w:iCs/>
          <w:sz w:val="22"/>
          <w:szCs w:val="22"/>
        </w:rPr>
      </w:pPr>
      <w:r>
        <w:rPr>
          <w:rFonts w:eastAsia="Times New Roman"/>
          <w:iCs/>
          <w:sz w:val="22"/>
          <w:szCs w:val="22"/>
        </w:rPr>
        <w:t xml:space="preserve">0333612167   ISBN-13 </w:t>
      </w:r>
      <w:proofErr w:type="gramStart"/>
      <w:r>
        <w:rPr>
          <w:rFonts w:eastAsia="Times New Roman"/>
          <w:iCs/>
          <w:sz w:val="22"/>
          <w:szCs w:val="22"/>
        </w:rPr>
        <w:t>‏ :</w:t>
      </w:r>
      <w:proofErr w:type="gramEnd"/>
      <w:r>
        <w:rPr>
          <w:rFonts w:eastAsia="Times New Roman"/>
          <w:iCs/>
          <w:sz w:val="22"/>
          <w:szCs w:val="22"/>
        </w:rPr>
        <w:t xml:space="preserve"> ‎ 978-0333612163</w:t>
      </w:r>
    </w:p>
    <w:p w:rsidR="005E31A6" w:rsidRDefault="005E31A6"/>
    <w:p w:rsidR="005E31A6" w:rsidRDefault="00000000">
      <w:pPr>
        <w:rPr>
          <w:b/>
          <w:iCs/>
        </w:rPr>
      </w:pPr>
      <w:r>
        <w:rPr>
          <w:b/>
          <w:iCs/>
        </w:rPr>
        <w:t xml:space="preserve">Reference Book: </w:t>
      </w:r>
    </w:p>
    <w:p w:rsidR="005E31A6" w:rsidRDefault="00000000">
      <w:pPr>
        <w:pStyle w:val="Heading1"/>
        <w:keepNext w:val="0"/>
        <w:keepLines w:val="0"/>
        <w:numPr>
          <w:ilvl w:val="0"/>
          <w:numId w:val="2"/>
        </w:numPr>
        <w:spacing w:before="0" w:after="0" w:line="240" w:lineRule="auto"/>
        <w:jc w:val="both"/>
        <w:rPr>
          <w:rFonts w:eastAsia="Times New Roman"/>
          <w:iCs/>
          <w:sz w:val="22"/>
          <w:szCs w:val="22"/>
        </w:rPr>
      </w:pPr>
      <w:r>
        <w:rPr>
          <w:rFonts w:eastAsia="Times New Roman"/>
          <w:iCs/>
          <w:sz w:val="22"/>
          <w:szCs w:val="22"/>
        </w:rPr>
        <w:t>Dominick Salvatore,</w:t>
      </w:r>
      <w:r>
        <w:rPr>
          <w:rFonts w:eastAsia="Times New Roman"/>
          <w:i/>
          <w:sz w:val="22"/>
          <w:szCs w:val="22"/>
        </w:rPr>
        <w:t xml:space="preserve"> International Economics: Trade and Finance, </w:t>
      </w:r>
      <w:r>
        <w:rPr>
          <w:rFonts w:eastAsia="Times New Roman"/>
          <w:iCs/>
          <w:sz w:val="22"/>
          <w:szCs w:val="22"/>
        </w:rPr>
        <w:t>Wiley; Eleventh edition,</w:t>
      </w:r>
      <w:proofErr w:type="gramStart"/>
      <w:r>
        <w:rPr>
          <w:rFonts w:eastAsia="Times New Roman"/>
          <w:iCs/>
          <w:sz w:val="22"/>
          <w:szCs w:val="22"/>
        </w:rPr>
        <w:t>2017,  ISBN</w:t>
      </w:r>
      <w:proofErr w:type="gramEnd"/>
      <w:r>
        <w:rPr>
          <w:rFonts w:eastAsia="Times New Roman"/>
          <w:iCs/>
          <w:sz w:val="22"/>
          <w:szCs w:val="22"/>
        </w:rPr>
        <w:t>-10 ‏ : ‎ 8126552344 ISBN-13 ‏ : ‎ 978-8126552344</w:t>
      </w:r>
    </w:p>
    <w:p w:rsidR="005E31A6" w:rsidRDefault="005E31A6">
      <w:pPr>
        <w:pStyle w:val="Heading1"/>
        <w:keepNext w:val="0"/>
        <w:keepLines w:val="0"/>
        <w:spacing w:before="0" w:after="0"/>
        <w:rPr>
          <w:rFonts w:eastAsia="Times New Roman"/>
          <w:iCs/>
          <w:sz w:val="22"/>
          <w:szCs w:val="22"/>
        </w:rPr>
      </w:pPr>
    </w:p>
    <w:p w:rsidR="005E31A6" w:rsidRDefault="00000000">
      <w:pPr>
        <w:pStyle w:val="Heading1"/>
        <w:keepNext w:val="0"/>
        <w:keepLines w:val="0"/>
        <w:numPr>
          <w:ilvl w:val="0"/>
          <w:numId w:val="2"/>
        </w:numPr>
        <w:spacing w:before="0" w:after="0"/>
        <w:rPr>
          <w:rFonts w:eastAsia="Times New Roman"/>
          <w:iCs/>
          <w:sz w:val="22"/>
          <w:szCs w:val="22"/>
        </w:rPr>
      </w:pPr>
      <w:r>
        <w:rPr>
          <w:rFonts w:eastAsia="Times New Roman"/>
          <w:iCs/>
          <w:sz w:val="22"/>
          <w:szCs w:val="22"/>
        </w:rPr>
        <w:t>Paul R. Krugman, Maurice Obstfeld, Marc Melitz,</w:t>
      </w:r>
      <w:r>
        <w:rPr>
          <w:rFonts w:eastAsia="Times New Roman"/>
          <w:i/>
          <w:sz w:val="22"/>
          <w:szCs w:val="22"/>
        </w:rPr>
        <w:t xml:space="preserve"> International Trade: Theory and Policy</w:t>
      </w:r>
      <w:r>
        <w:rPr>
          <w:rFonts w:eastAsia="Times New Roman"/>
          <w:iCs/>
          <w:sz w:val="22"/>
          <w:szCs w:val="22"/>
        </w:rPr>
        <w:t xml:space="preserve">, 2017, ISBN-10 </w:t>
      </w:r>
      <w:proofErr w:type="gramStart"/>
      <w:r>
        <w:rPr>
          <w:rFonts w:eastAsia="Times New Roman"/>
          <w:iCs/>
          <w:sz w:val="22"/>
          <w:szCs w:val="22"/>
        </w:rPr>
        <w:t>‏ :</w:t>
      </w:r>
      <w:proofErr w:type="gramEnd"/>
      <w:r>
        <w:rPr>
          <w:rFonts w:eastAsia="Times New Roman"/>
          <w:iCs/>
          <w:sz w:val="22"/>
          <w:szCs w:val="22"/>
        </w:rPr>
        <w:t xml:space="preserve"> ‎ 9789332585768  ISBN-13 ‏ : ‎ 978-9332585768</w:t>
      </w:r>
    </w:p>
    <w:p w:rsidR="005E31A6" w:rsidRDefault="005E31A6">
      <w:pPr>
        <w:pStyle w:val="Heading1"/>
        <w:keepNext w:val="0"/>
        <w:keepLines w:val="0"/>
        <w:spacing w:before="0" w:after="0"/>
        <w:rPr>
          <w:iCs/>
          <w:sz w:val="22"/>
          <w:szCs w:val="22"/>
        </w:rPr>
      </w:pPr>
    </w:p>
    <w:p w:rsidR="005E31A6" w:rsidRDefault="005E31A6">
      <w:pPr>
        <w:spacing w:after="0"/>
      </w:pPr>
    </w:p>
    <w:p w:rsidR="005E31A6" w:rsidRDefault="005E31A6">
      <w:pPr>
        <w:spacing w:after="0"/>
      </w:pPr>
    </w:p>
    <w:p w:rsidR="005E31A6" w:rsidRDefault="00000000">
      <w:pPr>
        <w:spacing w:after="0"/>
      </w:pPr>
      <w:r>
        <w:t>….……………………………………………………………………………………………………………</w:t>
      </w:r>
    </w:p>
    <w:sectPr w:rsidR="005E31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D40BF" w:rsidRDefault="001D40BF">
      <w:pPr>
        <w:spacing w:line="240" w:lineRule="auto"/>
      </w:pPr>
      <w:r>
        <w:separator/>
      </w:r>
    </w:p>
  </w:endnote>
  <w:endnote w:type="continuationSeparator" w:id="0">
    <w:p w:rsidR="001D40BF" w:rsidRDefault="001D40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ans-serif">
    <w:altName w:val="Liberation Mono"/>
    <w:panose1 w:val="020B0604020202020204"/>
    <w:charset w:val="00"/>
    <w:family w:val="auto"/>
    <w:pitch w:val="default"/>
    <w:sig w:usb0="00000000" w:usb1="00000000" w:usb2="00000000"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D40BF" w:rsidRDefault="001D40BF">
      <w:pPr>
        <w:spacing w:after="0"/>
      </w:pPr>
      <w:r>
        <w:separator/>
      </w:r>
    </w:p>
  </w:footnote>
  <w:footnote w:type="continuationSeparator" w:id="0">
    <w:p w:rsidR="001D40BF" w:rsidRDefault="001D40B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86F5B"/>
    <w:multiLevelType w:val="singleLevel"/>
    <w:tmpl w:val="09686F5B"/>
    <w:lvl w:ilvl="0">
      <w:start w:val="1"/>
      <w:numFmt w:val="decimal"/>
      <w:suff w:val="space"/>
      <w:lvlText w:val="%1."/>
      <w:lvlJc w:val="left"/>
    </w:lvl>
  </w:abstractNum>
  <w:abstractNum w:abstractNumId="1" w15:restartNumberingAfterBreak="0">
    <w:nsid w:val="6E38B2B2"/>
    <w:multiLevelType w:val="singleLevel"/>
    <w:tmpl w:val="6E38B2B2"/>
    <w:lvl w:ilvl="0">
      <w:start w:val="1"/>
      <w:numFmt w:val="decimal"/>
      <w:lvlText w:val="%1."/>
      <w:lvlJc w:val="left"/>
      <w:pPr>
        <w:tabs>
          <w:tab w:val="left" w:pos="425"/>
        </w:tabs>
        <w:ind w:left="425" w:hanging="425"/>
      </w:pPr>
      <w:rPr>
        <w:rFonts w:hint="default"/>
      </w:rPr>
    </w:lvl>
  </w:abstractNum>
  <w:num w:numId="1" w16cid:durableId="1321930891">
    <w:abstractNumId w:val="0"/>
  </w:num>
  <w:num w:numId="2" w16cid:durableId="2731029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315F4"/>
    <w:rsid w:val="000E6903"/>
    <w:rsid w:val="001315F4"/>
    <w:rsid w:val="0015093B"/>
    <w:rsid w:val="001D40BF"/>
    <w:rsid w:val="005911EA"/>
    <w:rsid w:val="005E31A6"/>
    <w:rsid w:val="006B1E14"/>
    <w:rsid w:val="006F6B82"/>
    <w:rsid w:val="00773916"/>
    <w:rsid w:val="008821C3"/>
    <w:rsid w:val="009E38CD"/>
    <w:rsid w:val="00A923AC"/>
    <w:rsid w:val="00AC68DB"/>
    <w:rsid w:val="00B8705D"/>
    <w:rsid w:val="00C003A3"/>
    <w:rsid w:val="00EC024B"/>
    <w:rsid w:val="00EC0AAB"/>
    <w:rsid w:val="0100030B"/>
    <w:rsid w:val="01826A7C"/>
    <w:rsid w:val="06EE2458"/>
    <w:rsid w:val="07A50D69"/>
    <w:rsid w:val="09273A00"/>
    <w:rsid w:val="0CCB2610"/>
    <w:rsid w:val="0D1E192C"/>
    <w:rsid w:val="0D6E5E7D"/>
    <w:rsid w:val="0EB3626A"/>
    <w:rsid w:val="0EBF21E3"/>
    <w:rsid w:val="0F6A2898"/>
    <w:rsid w:val="0F7D2735"/>
    <w:rsid w:val="102B0279"/>
    <w:rsid w:val="11235620"/>
    <w:rsid w:val="128D5581"/>
    <w:rsid w:val="132139ED"/>
    <w:rsid w:val="14174E49"/>
    <w:rsid w:val="151632A6"/>
    <w:rsid w:val="158739AA"/>
    <w:rsid w:val="1666200B"/>
    <w:rsid w:val="17290F29"/>
    <w:rsid w:val="185C5962"/>
    <w:rsid w:val="18E73256"/>
    <w:rsid w:val="1945415A"/>
    <w:rsid w:val="19720CC7"/>
    <w:rsid w:val="19A64E9E"/>
    <w:rsid w:val="1BBC447B"/>
    <w:rsid w:val="1BDE58DF"/>
    <w:rsid w:val="1DC96420"/>
    <w:rsid w:val="1E91399D"/>
    <w:rsid w:val="20491C1A"/>
    <w:rsid w:val="20784E15"/>
    <w:rsid w:val="227B6E3E"/>
    <w:rsid w:val="22BD1205"/>
    <w:rsid w:val="243E49B4"/>
    <w:rsid w:val="260317E4"/>
    <w:rsid w:val="26A06E73"/>
    <w:rsid w:val="271B474C"/>
    <w:rsid w:val="28F811E9"/>
    <w:rsid w:val="293255F9"/>
    <w:rsid w:val="2B4E08BD"/>
    <w:rsid w:val="2D157E8F"/>
    <w:rsid w:val="321B1AA4"/>
    <w:rsid w:val="32736FBC"/>
    <w:rsid w:val="3308789D"/>
    <w:rsid w:val="33DD1479"/>
    <w:rsid w:val="35EB79DF"/>
    <w:rsid w:val="36F037DC"/>
    <w:rsid w:val="377F5027"/>
    <w:rsid w:val="3BB5459C"/>
    <w:rsid w:val="3C036298"/>
    <w:rsid w:val="3DDD67A7"/>
    <w:rsid w:val="3F47212A"/>
    <w:rsid w:val="3FEB7AA0"/>
    <w:rsid w:val="437835F3"/>
    <w:rsid w:val="44122B17"/>
    <w:rsid w:val="447D5605"/>
    <w:rsid w:val="45165CB6"/>
    <w:rsid w:val="451F3E65"/>
    <w:rsid w:val="4528655A"/>
    <w:rsid w:val="45F32593"/>
    <w:rsid w:val="46020B59"/>
    <w:rsid w:val="47035783"/>
    <w:rsid w:val="477612C1"/>
    <w:rsid w:val="47AD1A73"/>
    <w:rsid w:val="483E19A4"/>
    <w:rsid w:val="490270C2"/>
    <w:rsid w:val="49B606AD"/>
    <w:rsid w:val="4B157580"/>
    <w:rsid w:val="4B374D31"/>
    <w:rsid w:val="4B9C1A50"/>
    <w:rsid w:val="4EEC09D6"/>
    <w:rsid w:val="50050AEB"/>
    <w:rsid w:val="51522808"/>
    <w:rsid w:val="51CE41EF"/>
    <w:rsid w:val="528C0A30"/>
    <w:rsid w:val="54AB56D0"/>
    <w:rsid w:val="55FF082E"/>
    <w:rsid w:val="564F65B2"/>
    <w:rsid w:val="58A81A34"/>
    <w:rsid w:val="5AA25F8B"/>
    <w:rsid w:val="5BC737E6"/>
    <w:rsid w:val="5EAA7B88"/>
    <w:rsid w:val="5F4572D0"/>
    <w:rsid w:val="61201B0E"/>
    <w:rsid w:val="61B9542D"/>
    <w:rsid w:val="6239194F"/>
    <w:rsid w:val="64865139"/>
    <w:rsid w:val="65FC231F"/>
    <w:rsid w:val="671A5238"/>
    <w:rsid w:val="675637BD"/>
    <w:rsid w:val="68FB170C"/>
    <w:rsid w:val="6BF941B1"/>
    <w:rsid w:val="6C2E50CD"/>
    <w:rsid w:val="6C896D77"/>
    <w:rsid w:val="6E4F5E71"/>
    <w:rsid w:val="6FE02468"/>
    <w:rsid w:val="72952BD1"/>
    <w:rsid w:val="73D66A38"/>
    <w:rsid w:val="74074C99"/>
    <w:rsid w:val="745F3CC1"/>
    <w:rsid w:val="752B713B"/>
    <w:rsid w:val="779B5BC9"/>
    <w:rsid w:val="78465F1F"/>
    <w:rsid w:val="789F6834"/>
    <w:rsid w:val="79CE35C0"/>
    <w:rsid w:val="7A954E2B"/>
    <w:rsid w:val="7AB45BBF"/>
    <w:rsid w:val="7B9C6D7F"/>
    <w:rsid w:val="7C9F4B8C"/>
    <w:rsid w:val="7D6055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62C25CA"/>
  <w15:docId w15:val="{2A01DB10-0BC3-B34F-8A24-7777A4EBD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eastAsia="Times New Roman"/>
      <w:sz w:val="24"/>
      <w:szCs w:val="24"/>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671</Words>
  <Characters>3827</Characters>
  <Application>Microsoft Office Word</Application>
  <DocSecurity>0</DocSecurity>
  <Lines>31</Lines>
  <Paragraphs>8</Paragraphs>
  <ScaleCrop>false</ScaleCrop>
  <Company>Microsoft</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105709</dc:creator>
  <cp:lastModifiedBy>ANANDA MEHER</cp:lastModifiedBy>
  <cp:revision>6</cp:revision>
  <dcterms:created xsi:type="dcterms:W3CDTF">2023-02-09T05:26:00Z</dcterms:created>
  <dcterms:modified xsi:type="dcterms:W3CDTF">2023-09-18T11:12:00Z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530A10E9E48B4DDFA5D28313318B1605_13</vt:lpwstr>
  </property>
</Properties>
</file>