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sz w:val="40"/>
          <w:szCs w:val="40"/>
        </w:rPr>
        <w:t xml:space="preserve">Traffic Sign Recognition Using a</w:t>
      </w:r>
    </w:p>
    <w:p>
      <w:pPr>
        <w:spacing w:after="500"/>
        <w:jc w:val="center"/>
      </w:pPr>
      <w:r>
        <w:rPr>
          <w:b/>
          <w:bCs/>
          <w:sz w:val="40"/>
          <w:szCs w:val="40"/>
        </w:rPr>
        <w:t xml:space="preserve">From-Scratch Feed-Forward Neural Network</w:t>
      </w:r>
    </w:p>
    <w:p>
      <w:pPr>
        <w:spacing w:after="800"/>
        <w:jc w:val="center"/>
      </w:pPr>
      <w:r>
        <w:rPr>
          <w:i/>
          <w:iCs/>
          <w:color w:val="444444"/>
          <w:sz w:val="24"/>
          <w:szCs w:val="24"/>
        </w:rPr>
        <w:t xml:space="preserve">A study of the German Traffic Sign Recognition Benchmark using a multi-layer perceptron implemented without machine learning frameworks</w:t>
      </w:r>
    </w:p>
    <w:p>
      <w:pPr>
        <w:spacing w:after="100" w:before="1400"/>
        <w:jc w:val="center"/>
      </w:pPr>
      <w:r>
        <w:rPr>
          <w:sz w:val="22"/>
          <w:szCs w:val="22"/>
        </w:rPr>
        <w:t xml:space="preserve">A Project Report Submitted in Partial Fulfilment of the Requirements for the Degree of Master of Science</w:t>
      </w:r>
    </w:p>
    <w:p>
      <w:pPr>
        <w:spacing w:after="1000"/>
      </w:pPr>
    </w:p>
    <w:p>
      <w:pPr>
        <w:spacing w:after="80"/>
        <w:jc w:val="center"/>
      </w:pPr>
      <w:r>
        <w:rPr>
          <w:b/>
          <w:bCs/>
          <w:sz w:val="24"/>
          <w:szCs w:val="24"/>
        </w:rPr>
        <w:t xml:space="preserve">Author:  </w:t>
      </w:r>
      <w:r>
        <w:rPr>
          <w:sz w:val="24"/>
          <w:szCs w:val="24"/>
        </w:rPr>
        <w:t xml:space="preserve">Bibek Ghimire</w:t>
      </w:r>
    </w:p>
    <w:p>
      <w:pPr>
        <w:spacing w:after="80"/>
        <w:jc w:val="center"/>
      </w:pPr>
      <w:r>
        <w:rPr>
          <w:b/>
          <w:bCs/>
          <w:sz w:val="24"/>
          <w:szCs w:val="24"/>
        </w:rPr>
        <w:t xml:space="preserve">Institution:  </w:t>
      </w:r>
      <w:r>
        <w:rPr>
          <w:i/>
          <w:iCs/>
          <w:color w:val="777777"/>
          <w:sz w:val="24"/>
          <w:szCs w:val="24"/>
        </w:rPr>
        <w:t xml:space="preserve">[fill in institution name]</w:t>
      </w:r>
    </w:p>
    <w:p>
      <w:pPr>
        <w:spacing w:after="80"/>
        <w:jc w:val="center"/>
      </w:pPr>
      <w:r>
        <w:rPr>
          <w:b/>
          <w:bCs/>
          <w:sz w:val="24"/>
          <w:szCs w:val="24"/>
        </w:rPr>
        <w:t xml:space="preserve">Supervisor:  </w:t>
      </w:r>
      <w:r>
        <w:rPr>
          <w:i/>
          <w:iCs/>
          <w:color w:val="777777"/>
          <w:sz w:val="24"/>
          <w:szCs w:val="24"/>
        </w:rPr>
        <w:t xml:space="preserve">[fill in supervisor name]</w:t>
      </w:r>
    </w:p>
    <w:p>
      <w:pPr>
        <w:spacing w:after="1600"/>
        <w:jc w:val="center"/>
      </w:pPr>
      <w:r>
        <w:rPr>
          <w:b/>
          <w:bCs/>
          <w:sz w:val="24"/>
          <w:szCs w:val="24"/>
        </w:rPr>
        <w:t xml:space="preserve">Submission Date:  </w:t>
      </w:r>
      <w:r>
        <w:rPr>
          <w:i/>
          <w:iCs/>
          <w:color w:val="777777"/>
          <w:sz w:val="24"/>
          <w:szCs w:val="24"/>
        </w:rPr>
        <w:t xml:space="preserve">[fill in submission date]</w:t>
      </w:r>
    </w:p>
    <w:p>
      <w:r>
        <w:br w:type="page"/>
      </w:r>
    </w:p>
    <w:p>
      <w:pPr>
        <w:pStyle w:val="Heading1"/>
        <w:spacing w:after="200" w:before="400"/>
      </w:pPr>
      <w:r>
        <w:t xml:space="preserve">Status of This Document</w:t>
      </w:r>
    </w:p>
    <w:p>
      <w:pPr>
        <w:spacing w:after="160" w:before="0" w:line="300"/>
      </w:pPr>
      <w:r>
        <w:t xml:space="preserve">Sections 1–6 and 8–10 are complete. Section 7 (Results) is a structured template: every table and figure it calls for is produced by the code in this repository, but no training run has been performed yet, so the result cells are left unfilled and clearly marked. Section 7.0 lists the exact commands that generate each item once experiments are run.</w:t>
      </w:r>
    </w:p>
    <w:p>
      <w:pPr>
        <w:spacing w:after="160" w:before="0" w:line="300"/>
      </w:pPr>
      <w:r>
        <w:t xml:space="preserve">Every quantitative claim made outside Section 7 is either a property of the dataset as published, a property of the implemented code, or a resource measurement taken on the hardware stated in Section 5.1. No accuracy figure is asserted anywhere in this document.</w:t>
      </w:r>
    </w:p>
    <w:p>
      <w:r>
        <w:br w:type="page"/>
      </w:r>
    </w:p>
    <w:p>
      <w:pPr>
        <w:pStyle w:val="Heading1"/>
        <w:spacing w:after="200" w:before="400"/>
      </w:pPr>
      <w:r>
        <w:t xml:space="preserve">Abstract</w:t>
      </w:r>
    </w:p>
    <w:p>
      <w:pPr>
        <w:spacing w:after="160" w:before="0" w:line="300"/>
      </w:pPr>
      <w:r>
        <w:t xml:space="preserve">Traffic sign recognition is a core perception task in driver assistance and autonomous driving, and one where the cost of a misclassification is asymmetric: mistaking a speed limit sign for another speed limit sign is a different kind of failure from missing a stop sign entirely. This report presents a traffic sign classifier for the German Traffic Sign Recognition Benchmark (GTSRB) — 51,839 images across 43 classes — built on a fully connected feed-forward neural network implemented from first principles in NumPy. No machine learning framework is used: forward propagation, backpropagation, the Adam optimizer, inverted dropout, L2 regularization, He initialization and early stopping are each derived and implemented directly.</w:t>
      </w:r>
    </w:p>
    <w:p>
      <w:pPr>
        <w:spacing w:after="160" w:before="0" w:line="300"/>
      </w:pPr>
      <w:r>
        <w:t xml:space="preserve">The contribution is not benchmark performance. A fully connected network operating on flattened pixels lacks both translation invariance and any notion of spatial locality, and is therefore structurally disadvantaged against the convolutional architectures that define the state of the art on this dataset. The contribution is instead a complete, inspectable and reproducible implementation of the underlying mechanics, together with an experimental design that isolates the contribution of each component — initialization scheme, optimizer, regularizer, network depth and data augmentation — and an honest characterisation of where the architecture's ceiling lies and why.</w:t>
      </w:r>
    </w:p>
    <w:p>
      <w:pPr>
        <w:spacing w:after="160" w:before="0" w:line="300"/>
      </w:pPr>
      <w:r>
        <w:t xml:space="preserve">A methodological finding is reported independently of any training run: three transformation choices inherited from the digit-recognition domain are demonstrably invalid for traffic signs. Horizontal mirroring, standard in digit and general-object augmentation, systematically produces mislabelled examples for the eight directional sign classes in GTSRB, since a mirrored “Turn left ahead” is a valid image of “Turn right ahead” carrying the wrong label.</w:t>
      </w:r>
    </w:p>
    <w:p>
      <w:pPr>
        <w:spacing w:after="160" w:before="0" w:line="300"/>
      </w:pPr>
      <w:r>
        <w:rPr>
          <w:b/>
          <w:bCs/>
        </w:rPr>
        <w:t xml:space="preserve">Keywords: </w:t>
      </w:r>
      <w:r>
        <w:t xml:space="preserve">traffic sign recognition, GTSRB, multi-layer perceptron, backpropagation, Adam optimization, dropout, data augmentation, class imbalance</w:t>
      </w:r>
    </w:p>
    <w:p>
      <w:r>
        <w:br w:type="page"/>
      </w:r>
    </w:p>
    <w:p>
      <w:pPr>
        <w:pStyle w:val="Heading1"/>
        <w:spacing w:after="200" w:before="400"/>
      </w:pPr>
      <w:r>
        <w:t xml:space="preserve">Table of Contents</w:t>
      </w:r>
    </w:p>
    <w:p>
      <w:pPr>
        <w:spacing w:after="160" w:before="0" w:line="300"/>
      </w:pPr>
      <w:r>
        <w:rPr>
          <w:i/>
          <w:iCs/>
          <w:sz w:val="18"/>
          <w:szCs w:val="18"/>
        </w:rPr>
        <w:t xml:space="preserve">(This field updates automatically in Microsoft Word: right-click anywhere in the table below and choose “Update Field,” or press Ctrl+A then F9.)</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Background</w:t>
      </w:r>
    </w:p>
    <w:p>
      <w:pPr>
        <w:spacing w:after="160" w:before="0" w:line="300"/>
      </w:pPr>
      <w:r>
        <w:t xml:space="preserve">Automatic traffic sign recognition sits in the perception layer of advanced driver assistance systems and autonomous vehicles. The task is superficially easy — signs are standardised, high-contrast, and designed by regulation to be legible at distance — and in practice hard, because the images a vehicle actually captures are degraded in ways the designers never intended: motion blur, low sun, night, rain, partial occlusion by foliage, faded or vandalised faces, and severe perspective distortion when a sign is approached off-axis.</w:t>
      </w:r>
    </w:p>
    <w:p>
      <w:pPr>
        <w:spacing w:after="160" w:before="0" w:line="300"/>
      </w:pPr>
      <w:r>
        <w:t xml:space="preserve">Stallkamp et al. [1] established the German Traffic Sign Recognition Benchmark in 2011 to make these methods comparable. Their headline result is worth restating, because it sets the bar: human classification accuracy on GTSRB is 98.84%, and the best submitted machine learning system exceeded it at 99.46%, using a committee of convolutional neural networks [2]. Traffic sign recognition is thus one of the earliest vision tasks on which machines demonstrably surpassed human performance.</w:t>
      </w:r>
    </w:p>
    <w:p>
      <w:pPr>
        <w:pStyle w:val="Heading2"/>
        <w:spacing w:after="150" w:before="300"/>
      </w:pPr>
      <w:r>
        <w:t xml:space="preserve">1.2 Problem Statement</w:t>
      </w:r>
    </w:p>
    <w:p>
      <w:pPr>
        <w:spacing w:after="160" w:before="0" w:line="300"/>
      </w:pPr>
      <w:r>
        <w:t xml:space="preserve">Given a cropped image containing exactly one German traffic sign, assign it to one of 43 classes. This is a closed-set, single-label classification problem. It is explicitly not detection: locating signs within a full street scene is a distinct problem requiring a different class of model, and is out of scope (see Section 9.2).</w:t>
      </w:r>
    </w:p>
    <w:p>
      <w:pPr>
        <w:pStyle w:val="Heading2"/>
        <w:spacing w:after="150" w:before="300"/>
      </w:pPr>
      <w:r>
        <w:t xml:space="preserve">1.3 Motivation for the Approach</w:t>
      </w:r>
    </w:p>
    <w:p>
      <w:pPr>
        <w:spacing w:after="160" w:before="0" w:line="300"/>
      </w:pPr>
      <w:r>
        <w:t xml:space="preserve">Modern frameworks make it possible to train an accurate classifier without understanding what the training loop does. That convenience has a cost in educational settings: the gradient computation, the optimizer's state, the behavioural difference between dropout at training and at inference time — all of it is behind an API.</w:t>
      </w:r>
    </w:p>
    <w:p>
      <w:pPr>
        <w:spacing w:after="160" w:before="0" w:line="300"/>
      </w:pPr>
      <w:r>
        <w:t xml:space="preserve">This project takes the opposite approach deliberately. Every component is implemented in NumPy and can be inspected, unit-checked, and reasoned about line by line. The accompanying notebook (Project_Walkthrough.ipynb) executes each stage of a training step in isolation so that the intermediate tensors are directly observable.</w:t>
      </w:r>
    </w:p>
    <w:p>
      <w:pPr>
        <w:spacing w:after="160" w:before="0" w:line="300"/>
      </w:pPr>
      <w:r>
        <w:t xml:space="preserve">The cost of this choice is accepted openly: the architecture cannot compete with a convolutional model on this dataset. Section 8.4 quantifies why, and Section 10.2 sets out the path to closing the gap.</w:t>
      </w:r>
    </w:p>
    <w:p>
      <w:pPr>
        <w:pStyle w:val="Heading2"/>
        <w:spacing w:after="150" w:before="300"/>
      </w:pPr>
      <w:r>
        <w:t xml:space="preserve">1.4 Objectives</w:t>
      </w:r>
    </w:p>
    <w:p>
      <w:pPr>
        <w:pStyle w:val="ListParagraph"/>
        <w:numPr>
          <w:ilvl w:val="0"/>
          <w:numId w:val="1"/>
        </w:numPr>
        <w:spacing w:after="100"/>
      </w:pPr>
      <w:r>
        <w:t xml:space="preserve">Implement a complete multi-layer perceptron in NumPy — forward propagation, backpropagation, Adam, dropout, L2, He initialization, early stopping and learning rate scheduling — with no machine learning framework.</w:t>
      </w:r>
    </w:p>
    <w:p>
      <w:pPr>
        <w:pStyle w:val="ListParagraph"/>
        <w:numPr>
          <w:ilvl w:val="0"/>
          <w:numId w:val="1"/>
        </w:numPr>
        <w:spacing w:after="100"/>
      </w:pPr>
      <w:r>
        <w:t xml:space="preserve">Build a preprocessing pipeline that adapts GTSRB's variable-size, variable-exposure colour photographs into fixed-length feature vectors.</w:t>
      </w:r>
    </w:p>
    <w:p>
      <w:pPr>
        <w:pStyle w:val="ListParagraph"/>
        <w:numPr>
          <w:ilvl w:val="0"/>
          <w:numId w:val="1"/>
        </w:numPr>
        <w:spacing w:after="100"/>
      </w:pPr>
      <w:r>
        <w:t xml:space="preserve">Design and specify a controlled experimental protocol isolating the effect of each architectural and training choice.</w:t>
      </w:r>
    </w:p>
    <w:p>
      <w:pPr>
        <w:pStyle w:val="ListParagraph"/>
        <w:numPr>
          <w:ilvl w:val="0"/>
          <w:numId w:val="1"/>
        </w:numPr>
        <w:spacing w:after="100"/>
      </w:pPr>
      <w:r>
        <w:t xml:space="preserve">Evaluate with metrics appropriate to an imbalanced multi-class problem, rather than accuracy alone.</w:t>
      </w:r>
    </w:p>
    <w:p>
      <w:pPr>
        <w:pStyle w:val="ListParagraph"/>
        <w:numPr>
          <w:ilvl w:val="0"/>
          <w:numId w:val="1"/>
        </w:numPr>
        <w:spacing w:after="100"/>
      </w:pPr>
      <w:r>
        <w:t xml:space="preserve">Establish which augmentation transformations are valid in the traffic sign domain, as opposed to inherited unexamined from other image domains.</w:t>
      </w:r>
    </w:p>
    <w:p>
      <w:pPr>
        <w:pStyle w:val="ListParagraph"/>
        <w:numPr>
          <w:ilvl w:val="0"/>
          <w:numId w:val="1"/>
        </w:numPr>
        <w:spacing w:after="100"/>
      </w:pPr>
      <w:r>
        <w:t xml:space="preserve">Deliver the whole thing reproducibly: pinned dependencies, a container definition, and a documented single-command path from clean checkout to trained model.</w:t>
      </w:r>
    </w:p>
    <w:p>
      <w:pPr>
        <w:pStyle w:val="Heading2"/>
        <w:spacing w:after="150" w:before="300"/>
      </w:pPr>
      <w:r>
        <w:t xml:space="preserve">1.5 Scope</w:t>
      </w:r>
    </w:p>
    <w:p>
      <w:pPr>
        <w:spacing w:after="160" w:before="0" w:line="300"/>
      </w:pPr>
      <w:r>
        <w:rPr>
          <w:b/>
          <w:bCs/>
        </w:rPr>
        <w:t xml:space="preserve">In scope: </w:t>
      </w:r>
      <w:r>
        <w:t xml:space="preserve">classification of pre-cropped single signs; grayscale preprocessing; fully connected architectures; the training and regularization methods listed above; offline data augmentation; per-class evaluation.</w:t>
      </w:r>
    </w:p>
    <w:p>
      <w:pPr>
        <w:spacing w:after="160" w:before="0" w:line="300"/>
      </w:pPr>
      <w:r>
        <w:rPr>
          <w:b/>
          <w:bCs/>
        </w:rPr>
        <w:t xml:space="preserve">Out of scope: </w:t>
      </w:r>
      <w:r>
        <w:t xml:space="preserve">sign detection or localisation; video and temporal tracking; convolutional, recurrent or attention-based architectures; real-time embedded deployment; colour-channel modelling (see Section 9.1).</w:t>
      </w:r>
    </w:p>
    <w:p>
      <w:pPr>
        <w:pStyle w:val="Heading2"/>
        <w:spacing w:after="150" w:before="300"/>
      </w:pPr>
      <w:r>
        <w:t xml:space="preserve">1.6 Contributions</w:t>
      </w:r>
    </w:p>
    <w:p>
      <w:pPr>
        <w:pStyle w:val="ListParagraph"/>
        <w:numPr>
          <w:ilvl w:val="0"/>
          <w:numId w:val="1"/>
        </w:numPr>
        <w:spacing w:after="100"/>
      </w:pPr>
      <w:r>
        <w:t xml:space="preserve">C1. A complete framework-free implementation of a trainable MLP, documented to the level of individual equations (Section 4).</w:t>
      </w:r>
    </w:p>
    <w:p>
      <w:pPr>
        <w:pStyle w:val="ListParagraph"/>
        <w:numPr>
          <w:ilvl w:val="0"/>
          <w:numId w:val="1"/>
        </w:numPr>
        <w:spacing w:after="100"/>
      </w:pPr>
      <w:r>
        <w:t xml:space="preserve">C2. A GTSRB preprocessing pipeline with each stage justified against a specific property of the data (Section 4.2).</w:t>
      </w:r>
    </w:p>
    <w:p>
      <w:pPr>
        <w:pStyle w:val="ListParagraph"/>
        <w:numPr>
          <w:ilvl w:val="0"/>
          <w:numId w:val="1"/>
        </w:numPr>
        <w:spacing w:after="100"/>
      </w:pPr>
      <w:r>
        <w:t xml:space="preserve">C3. A domain analysis of augmentation validity, identifying horizontal mirroring as label-corrupting for this dataset and correcting two transformation ranges inherited from the digit domain (Section 4.9).</w:t>
      </w:r>
    </w:p>
    <w:p>
      <w:pPr>
        <w:pStyle w:val="ListParagraph"/>
        <w:numPr>
          <w:ilvl w:val="0"/>
          <w:numId w:val="1"/>
        </w:numPr>
        <w:spacing w:after="100"/>
      </w:pPr>
      <w:r>
        <w:t xml:space="preserve">C4. A controlled experimental protocol of six ablations (Section 5.4).</w:t>
      </w:r>
    </w:p>
    <w:p>
      <w:pPr>
        <w:pStyle w:val="ListParagraph"/>
        <w:numPr>
          <w:ilvl w:val="0"/>
          <w:numId w:val="1"/>
        </w:numPr>
        <w:spacing w:after="100"/>
      </w:pPr>
      <w:r>
        <w:t xml:space="preserve">C5. Three defects identified and corrected in the antecedent digit-recognition codebase, two of which are silently wrong rather than loudly wrong (Section 4.10).</w:t>
      </w:r>
    </w:p>
    <w:p>
      <w:pPr>
        <w:pStyle w:val="ListParagraph"/>
        <w:numPr>
          <w:ilvl w:val="0"/>
          <w:numId w:val="1"/>
        </w:numPr>
        <w:spacing w:after="100"/>
      </w:pPr>
      <w:r>
        <w:t xml:space="preserve">C6. Measured resource characterisation of the training procedure (Section 5.1).</w:t>
      </w:r>
    </w:p>
    <w:p>
      <w:r>
        <w:br w:type="page"/>
      </w:r>
    </w:p>
    <w:p>
      <w:pPr>
        <w:pStyle w:val="Heading1"/>
        <w:spacing w:after="200" w:before="400"/>
      </w:pPr>
      <w:r>
        <w:t xml:space="preserve">2. Related Work</w:t>
      </w:r>
    </w:p>
    <w:p>
      <w:pPr>
        <w:pStyle w:val="Heading2"/>
        <w:spacing w:after="150" w:before="300"/>
      </w:pPr>
      <w:r>
        <w:t xml:space="preserve">2.1 The Benchmark and Its Results</w:t>
      </w:r>
    </w:p>
    <w:p>
      <w:pPr>
        <w:spacing w:after="160" w:before="0" w:line="300"/>
      </w:pPr>
      <w:r>
        <w:t xml:space="preserve">GTSRB was introduced as a competition at IJCNN 2011 [1]. The final standings are instructive about what matters on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60"/>
        <w:gridCol w:w="360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3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Method</w:t>
            </w:r>
          </w:p>
        </w:tc>
        <w:tc>
          <w:tcPr>
            <w:tcW w:type="dxa" w:w="1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w:t>
            </w:r>
          </w:p>
        </w:tc>
        <w:tc>
          <w:tcPr>
            <w:tcW w:type="dxa" w:w="36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Note</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Committee of CNNs [2]</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99.46%</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Ensemble of 25 networks</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3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Human performance [1]</w:t>
            </w:r>
          </w:p>
        </w:tc>
        <w:tc>
          <w:tcPr>
            <w:tcW w:type="dxa" w:w="1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98.84%</w:t>
            </w:r>
          </w:p>
        </w:tc>
        <w:tc>
          <w:tcPr>
            <w:tcW w:type="dxa" w:w="36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Measured over 32 test subjects</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Multi-scale CNN [3]</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98.31%</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Features from multiple layers to the classifier</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w:t>
            </w:r>
          </w:p>
        </w:tc>
        <w:tc>
          <w:tcPr>
            <w:tcW w:type="dxa" w:w="3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forests</w:t>
            </w:r>
          </w:p>
        </w:tc>
        <w:tc>
          <w:tcPr>
            <w:tcW w:type="dxa" w:w="1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96.14%</w:t>
            </w:r>
          </w:p>
        </w:tc>
        <w:tc>
          <w:tcPr>
            <w:tcW w:type="dxa" w:w="36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On HOG features</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LDA on HOG</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95.68%</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Classical baseline</w:t>
            </w:r>
          </w:p>
        </w:tc>
      </w:tr>
    </w:tbl>
    <w:p>
      <w:pPr>
        <w:spacing w:after="160"/>
      </w:pPr>
    </w:p>
    <w:p>
      <w:pPr>
        <w:spacing w:after="160" w:before="0" w:line="300"/>
      </w:pPr>
      <w:r>
        <w:t xml:space="preserve">Two things follow. First, convolutional architectures dominate the top of the table decisively. Second, even the classical HOG-based methods clear 95%, which sets a meaningful reference point: a method that cannot beat LDA on HOG features is not exploiting the structure of the problem.</w:t>
      </w:r>
    </w:p>
    <w:p>
      <w:pPr>
        <w:pStyle w:val="Heading2"/>
        <w:spacing w:after="150" w:before="300"/>
      </w:pPr>
      <w:r>
        <w:t xml:space="preserve">2.2 Classical Approaches</w:t>
      </w:r>
    </w:p>
    <w:p>
      <w:pPr>
        <w:spacing w:after="160" w:before="0" w:line="300"/>
      </w:pPr>
      <w:r>
        <w:t xml:space="preserve">Before CNNs, GTSRB systems were pipelines of hand-designed features and a conventional classifier. Histogram of Oriented Gradients (HOG) [4] was the dominant descriptor, capturing local edge orientation statistics — well matched to signs, whose identity is largely carried by shape and pictogram outline. Colour segmentation in HSV space was often used as a first-stage filter, exploiting the regulatory colour coding (red for prohibitory, blue for mandatory, yellow for temporary).</w:t>
      </w:r>
    </w:p>
    <w:p>
      <w:pPr>
        <w:spacing w:after="160" w:before="0" w:line="300"/>
      </w:pPr>
      <w:r>
        <w:t xml:space="preserve">The relevance to this work is that these methods succeed by engineering translation robustness into the features. A fully connected network on raw pixels has neither engineered features nor learned translation invariance, which is precisely the deficit analysed in Section 8.4.</w:t>
      </w:r>
    </w:p>
    <w:p>
      <w:pPr>
        <w:pStyle w:val="Heading2"/>
        <w:spacing w:after="150" w:before="300"/>
      </w:pPr>
      <w:r>
        <w:t xml:space="preserve">2.3 Convolutional Approaches</w:t>
      </w:r>
    </w:p>
    <w:p>
      <w:pPr>
        <w:spacing w:after="160" w:before="0" w:line="300"/>
      </w:pPr>
      <w:r>
        <w:t xml:space="preserve">Ciresan et al. [2] won the benchmark with a committee of deep CNNs trained on augmented data. Sermanet and LeCun [3] introduced a multi-scale architecture feeding both early and late convolutional stages to the classifier, on the argument that traffic sign identity depends on both fine detail (the digits inside a speed limit sign) and coarse shape (the sign's outline). Their result also established that grayscale input costs surprisingly little accuracy on GTSRB relative to full colour — a finding this project's preprocessing relies on (Section 4.2).</w:t>
      </w:r>
    </w:p>
    <w:p>
      <w:pPr>
        <w:pStyle w:val="Heading2"/>
        <w:spacing w:after="150" w:before="300"/>
      </w:pPr>
      <w:r>
        <w:t xml:space="preserve">2.4 Multi-Layer Perceptrons on Image Data</w:t>
      </w:r>
    </w:p>
    <w:p>
      <w:pPr>
        <w:spacing w:after="160" w:before="0" w:line="300"/>
      </w:pPr>
      <w:r>
        <w:t xml:space="preserve">The theoretical position of the MLP is well established. The universal approximation theorem [5] guarantees that a single hidden layer of sufficient width can approximate any continuous function on a compact domain — so representational capacity is not the binding constraint here. The binding constraint is sample efficiency. A fully connected layer treats input position 100 and position 101 as unrelated coordinates. It must therefore learn the appearance of a sign separately at every position it can occupy, and every such position requires its own training examples. LeCun et al. [6] identified this as the motivation for weight sharing in convolutional networks.</w:t>
      </w:r>
    </w:p>
    <w:p>
      <w:pPr>
        <w:spacing w:after="160" w:before="0" w:line="300"/>
      </w:pPr>
      <w:r>
        <w:t xml:space="preserve">The methods this implementation uses are individually standard: He initialization [7], scaled for the ReLU nonlinearity; the Adam optimizer [8], combining momentum with per-parameter adaptive step sizes; and inverted dropout [9] as a stochastic regularizer.</w:t>
      </w:r>
    </w:p>
    <w:p>
      <w:pPr>
        <w:pStyle w:val="Heading2"/>
        <w:spacing w:after="150" w:before="300"/>
      </w:pPr>
      <w:r>
        <w:t xml:space="preserve">2.5 Positioning of This Work</w:t>
      </w:r>
    </w:p>
    <w:p>
      <w:pPr>
        <w:spacing w:after="160" w:before="0" w:line="300"/>
      </w:pPr>
      <w:r>
        <w:t xml:space="preserve">This project does not aim to advance the state of the art on GTSRB, and it would be dishonest to present it as doing so. It occupies the pedagogical position: a complete, transparent implementation of the mechanics that frameworks abstract, applied to a real dataset with real difficulties, together with an experimental design that makes the resulting limitations legible rather than mysterious.</w:t>
      </w:r>
    </w:p>
    <w:p>
      <w:r>
        <w:br w:type="page"/>
      </w:r>
    </w:p>
    <w:p>
      <w:pPr>
        <w:pStyle w:val="Heading1"/>
        <w:spacing w:after="200" w:before="400"/>
      </w:pPr>
      <w:r>
        <w:t xml:space="preserve">3. Dataset</w:t>
      </w:r>
    </w:p>
    <w:p>
      <w:pPr>
        <w:pStyle w:val="Heading2"/>
        <w:spacing w:after="150" w:before="300"/>
      </w:pPr>
      <w:r>
        <w:t xml:space="preserve">3.1 Description</w:t>
      </w:r>
    </w:p>
    <w:p>
      <w:pPr>
        <w:spacing w:after="160" w:before="0" w:line="300"/>
      </w:pPr>
      <w:r>
        <w:t xml:space="preserve">The German Traffic Sign Recognition Benchmark [1] is published by the Institut für Neuroinformatik, Ruhr-Universität Bochum, under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Property</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Classes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Training images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39,209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images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12,630</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Total</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51,839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Format</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PPM (uncompressed RGB)</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Image dimensions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Variable, 15×15 to 250×250 px</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Annotation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Per-image ROI bounding box and class id, semicolon-delimited CSV</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Colour</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24-bit RGB</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Licence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CC BY 4.0</w:t>
            </w:r>
          </w:p>
        </w:tc>
      </w:tr>
    </w:tbl>
    <w:p>
      <w:pPr>
        <w:spacing w:after="160"/>
      </w:pPr>
    </w:p>
    <w:p>
      <w:pPr>
        <w:pStyle w:val="Heading2"/>
        <w:spacing w:after="150" w:before="300"/>
      </w:pPr>
      <w:r>
        <w:t xml:space="preserve">3.2 Provenance and Structure</w:t>
      </w:r>
    </w:p>
    <w:p>
      <w:pPr>
        <w:spacing w:after="160" w:before="0" w:line="300"/>
      </w:pPr>
      <w:r>
        <w:t xml:space="preserve">Images were extracted from roughly 10 hours of video recorded on German roads. Critically, each physical sign contributes a track of 30 consecutive frames as the vehicle approaches it. Frames within a track are highly correlated: they differ mainly in scale and slightly in viewing angle.</w:t>
      </w:r>
    </w:p>
    <w:p>
      <w:pPr>
        <w:spacing w:after="160" w:before="0" w:line="300"/>
      </w:pPr>
      <w:r>
        <w:t xml:space="preserve">This has a direct methodological consequence. Randomly splitting the training set into training and validation partitions places frames of the same physical sign on both sides of the split, so validation accuracy is optimistically biased. The official train/test partition is track-disjoint and does not suffer from this; the internal dev split used here does. This is recorded honestly as a threat to validity in Section 9.3 rather than glossed over.</w:t>
      </w:r>
    </w:p>
    <w:p>
      <w:pPr>
        <w:pStyle w:val="Heading2"/>
        <w:spacing w:after="150" w:before="300"/>
      </w:pPr>
      <w:r>
        <w:t xml:space="preserve">3.3 Class Distribution</w:t>
      </w:r>
    </w:p>
    <w:p>
      <w:pPr>
        <w:spacing w:after="160" w:before="0" w:line="300"/>
      </w:pPr>
      <w:r>
        <w:t xml:space="preserve">The dataset is materially imbalanced. Training images per class range from 210 (class 0, “Speed limit 20”) to 2,250 (class 2, “Speed limit 50”) — a ratio of roughly 10.7:1. The distribution reflects real-world sign frequency rather than sampling error, which is arguably the right choice for a benchmark but makes accuracy a poor headline metric (Section 6.1).</w:t>
      </w:r>
    </w:p>
    <w:p>
      <w:pPr>
        <w:spacing w:after="240" w:before="80"/>
        <w:jc w:val="center"/>
      </w:pPr>
      <w:r>
        <w:rPr>
          <w:i/>
          <w:iCs/>
          <w:color w:val="555555"/>
          <w:sz w:val="20"/>
          <w:szCs w:val="20"/>
        </w:rPr>
        <w:t xml:space="preserve">Figure 3.1 — Class distribution histogram. Generated by visualize_data_distribution(train_y, "training").</w:t>
      </w:r>
    </w:p>
    <w:p>
      <w:pPr>
        <w:pStyle w:val="Heading2"/>
        <w:spacing w:after="150" w:before="300"/>
      </w:pPr>
      <w:r>
        <w:t xml:space="preserve">3.4 Sources of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Source</w:t>
            </w:r>
          </w:p>
        </w:tc>
        <w:tc>
          <w:tcPr>
            <w:tcW w:type="dxa" w:w="35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Description</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Mitigation in This Work</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Illumination</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Tunnels, direct sun, dusk, headlights</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Histogram equalization (§4.2)</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Scale</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15×15 to 250×250 px</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Resize to fixed 32×32 (§4.2)</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Motion blur</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Vehicle in motion</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Blur augmentation (§4.9)</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Perspective</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Off-axis approach</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Partially, via rotation and shift (§4.9)</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Occlusion</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Foliage, stickers, poles</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Not addressed</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Inter-class similarity</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limits differ only in digits</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Architectural limitation (§8.4)</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 imbalance</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10.7:1</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Reported per class (§6); not corrected</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Physical degradation</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Fading, vandalism, damage</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Not addressed</w:t>
            </w:r>
          </w:p>
        </w:tc>
      </w:tr>
    </w:tbl>
    <w:p>
      <w:pPr>
        <w:spacing w:after="160"/>
      </w:pPr>
    </w:p>
    <w:p>
      <w:pPr>
        <w:spacing w:after="160" w:before="0" w:line="300"/>
      </w:pPr>
      <w:r>
        <w:t xml:space="preserve">The three “not addressed” entries are stated deliberately. They are known weaknesses of this system, not oversights.</w:t>
      </w:r>
    </w:p>
    <w:p>
      <w:r>
        <w:br w:type="page"/>
      </w:r>
    </w:p>
    <w:p>
      <w:pPr>
        <w:pStyle w:val="Heading1"/>
        <w:spacing w:after="200" w:before="400"/>
      </w:pPr>
      <w:r>
        <w:t xml:space="preserve">4. Methodology</w:t>
      </w:r>
    </w:p>
    <w:p>
      <w:pPr>
        <w:pStyle w:val="Heading2"/>
        <w:spacing w:after="150" w:before="300"/>
      </w:pPr>
      <w:r>
        <w:t xml:space="preserve">4.1 System Overview</w:t>
      </w:r>
    </w:p>
    <w:p>
      <w:pPr>
        <w:spacing w:after="160" w:before="0" w:line="300"/>
      </w:pPr>
      <w:r>
        <w:t xml:space="preserve">The pipeline moves from a raw, variable-size RGB image with an annotated region of interest, through a five-step deterministic preprocessing stage, into a three-layer fully connected network (1024 → 512 ReLU → 256 ReLU → 43 softmax), producing a probability distribution over 43 classes together with a second-choice prediction.</w:t>
      </w:r>
    </w:p>
    <w:p>
      <w:pPr>
        <w:spacing w:after="160" w:before="0" w:line="300"/>
      </w:pPr>
      <w:r>
        <w:t xml:space="preserve">The implementation is four modules with a strict acyclic dependency order: dataset.py → data_augmentation.py → model_utils.py → ffnn.py. dataset.py has no project dependencies and owns everything from acquisition to encoding. ffnn.py contains only the network and depends on nothing but model_utils.py.</w:t>
      </w:r>
    </w:p>
    <w:p>
      <w:pPr>
        <w:spacing w:after="160" w:before="0" w:line="300"/>
      </w:pPr>
      <w:r>
        <w:rPr>
          <w:b/>
          <w:bCs/>
        </w:rPr>
        <w:t xml:space="preserve">Data representation. </w:t>
      </w:r>
      <w:r>
        <w:t xml:space="preserve">All matrices are column-major: the design matrix X (1024 × m) has features down the rows and examples across the columns, and labels Y (43 × m) likewise. A mini-batch is therefore a contiguous column slice, and the forward pass is a single matrix product per layer with no transposition.</w:t>
      </w:r>
    </w:p>
    <w:p>
      <w:pPr>
        <w:pStyle w:val="Heading2"/>
        <w:spacing w:after="150" w:before="300"/>
      </w:pPr>
      <w:r>
        <w:t xml:space="preserve">4.2 Preprocessing</w:t>
      </w:r>
    </w:p>
    <w:p>
      <w:pPr>
        <w:spacing w:after="160" w:before="0" w:line="300"/>
      </w:pPr>
      <w:r>
        <w:t xml:space="preserve">Each image undergoes five deterministic transformations. Each is justified against a specific property of GTSRB rather than adopted by convention.</w:t>
      </w:r>
    </w:p>
    <w:p>
      <w:pPr>
        <w:spacing w:after="160" w:before="0" w:line="300"/>
      </w:pPr>
      <w:r>
        <w:rPr>
          <w:b/>
          <w:bCs/>
        </w:rPr>
        <w:t xml:space="preserve">1. Crop to the annotated ROI. </w:t>
      </w:r>
      <w:r>
        <w:t xml:space="preserve">GTSRB supplies a bounding box per image; the raw file carries approximately 10% background margin beyond it. Since a fully connected network assigns an independent weight to every input coordinate, that margin is 20–30% of the input budget spent on pixels containing, by construction, no signal. The crop reclaims it.</w:t>
      </w:r>
    </w:p>
    <w:p>
      <w:pPr>
        <w:spacing w:after="160" w:before="0" w:line="300"/>
      </w:pPr>
      <w:r>
        <w:rPr>
          <w:b/>
          <w:bCs/>
        </w:rPr>
        <w:t xml:space="preserve">2. Convert to grayscale. </w:t>
      </w:r>
      <w:r>
        <w:t xml:space="preserve">Retaining RGB triples the first layer's parameter count — from 524,288 to 1,572,864 weights at the default width — for information that is largely redundant with shape. Sermanet and LeCun [3] report that grayscale costs little accuracy on GTSRB. This is a considered trade-off, not a free choice, and Section 9.1 records what it gives up.</w:t>
      </w:r>
    </w:p>
    <w:p>
      <w:pPr>
        <w:spacing w:after="160" w:before="0" w:line="300"/>
      </w:pPr>
      <w:r>
        <w:rPr>
          <w:b/>
          <w:bCs/>
        </w:rPr>
        <w:t xml:space="preserve">3. Histogram equalization. </w:t>
      </w:r>
      <w:r>
        <w:t xml:space="preserve">The highest-value step in the pipeline for this dataset. GTSRB's illumination range is extreme, and equalization redistributes each image's intensity histogram towards uniform, so that a tunnel exposure and a noon exposure of the same sign present comparable inputs. Without it the network must devote capacity to learning illumination invariance from data.</w:t>
      </w:r>
    </w:p>
    <w:p>
      <w:pPr>
        <w:spacing w:after="160" w:before="0" w:line="300"/>
      </w:pPr>
      <w:r>
        <w:rPr>
          <w:b/>
          <w:bCs/>
        </w:rPr>
        <w:t xml:space="preserve">4. Resize to 32×32 bilinear. </w:t>
      </w:r>
      <w:r>
        <w:t xml:space="preserve">A fixed input dimension is required. 32×32 is chosen as the smallest size retaining the pictogram detail that separates visually adjacent classes, at 1,024 features. 28×28 (the MNIST convention) degrades speed limit digits; 48×48 raises the first layer to 1.18M weights for marginal detail gain.</w:t>
      </w:r>
    </w:p>
    <w:p>
      <w:pPr>
        <w:spacing w:after="160" w:before="0" w:line="300"/>
      </w:pPr>
      <w:r>
        <w:rPr>
          <w:b/>
          <w:bCs/>
        </w:rPr>
        <w:t xml:space="preserve">5. Flatten and scale. </w:t>
      </w:r>
      <w:r>
        <w:t xml:space="preserve">(32,32) → (1024,1), divided by 255 to place every feature in [0,1]. Unnormalised inputs in [0,255] produce first-layer gradients two orders of magnitude larger than later layers', which forces a learning rate too small for the rest of the network.</w:t>
      </w:r>
    </w:p>
    <w:p>
      <w:pPr>
        <w:spacing w:after="160" w:before="0" w:line="300"/>
      </w:pPr>
      <w:r>
        <w:t xml:space="preserve">Labels are one-hot encoded to a length-43 vector.</w:t>
      </w:r>
    </w:p>
    <w:p>
      <w:pPr>
        <w:pStyle w:val="Heading2"/>
        <w:spacing w:after="150" w:before="300"/>
      </w:pPr>
      <w:r>
        <w:t xml:space="preserve">4.3 Network Architecture</w:t>
      </w:r>
    </w:p>
    <w:p>
      <w:pPr>
        <w:spacing w:after="160" w:before="0" w:line="300"/>
      </w:pPr>
      <w:r>
        <w:t xml:space="preserve">An L-layer fully connected network with widths [1024, h₁, …, hₗ₋₁, 43]; the default is [1024, 512, 256,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900"/>
        <w:gridCol w:w="2260"/>
        <w:gridCol w:w="1400"/>
      </w:tblGrid>
      <w:tr>
        <w:trPr>
          <w:tblHeader/>
        </w:trPr>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Layer</w:t>
            </w:r>
          </w:p>
        </w:tc>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W</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b</w:t>
            </w:r>
          </w:p>
        </w:tc>
        <w:tc>
          <w:tcPr>
            <w:tcW w:type="dxa" w:w="2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Parameters</w:t>
            </w:r>
          </w:p>
        </w:tc>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Activation</w:t>
            </w:r>
          </w:p>
        </w:tc>
      </w:tr>
      <w:tr>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(512, 1024)</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w:t>
            </w:r>
          </w:p>
        </w:tc>
        <w:tc>
          <w:tcPr>
            <w:tcW w:type="dxa" w:w="2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524,800</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ReLU</w:t>
            </w:r>
          </w:p>
        </w:tc>
      </w:tr>
      <w:tr>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(256, 512)</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(256, 1)</w:t>
            </w:r>
          </w:p>
        </w:tc>
        <w:tc>
          <w:tcPr>
            <w:tcW w:type="dxa" w:w="2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131,328</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ReLU</w:t>
            </w:r>
          </w:p>
        </w:tc>
      </w:tr>
      <w:tr>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(43, 256)</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(43, 1)</w:t>
            </w:r>
          </w:p>
        </w:tc>
        <w:tc>
          <w:tcPr>
            <w:tcW w:type="dxa" w:w="2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11,051</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Softmax</w:t>
            </w:r>
          </w:p>
        </w:tc>
      </w:tr>
      <w:tr>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Total</w:t>
            </w:r>
          </w:p>
        </w:tc>
        <w:tc>
          <w:tcPr>
            <w:tcW w:type="dxa" w:w="2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667,179</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160" w:before="0" w:line="300"/>
      </w:pPr>
      <w:r>
        <w:t xml:space="preserve">ReLU is used on hidden layers for its non-saturating gradient; softmax on the output to produce a normalised distribution over the mutually exclusive classes.</w:t>
      </w:r>
    </w:p>
    <w:p>
      <w:pPr>
        <w:pStyle w:val="Heading2"/>
        <w:spacing w:after="150" w:before="300"/>
      </w:pPr>
      <w:r>
        <w:t xml:space="preserve">4.4 Weight Initialization</w:t>
      </w:r>
    </w:p>
    <w:p>
      <w:pPr>
        <w:spacing w:after="160" w:before="0" w:line="300"/>
      </w:pPr>
      <w:r>
        <w:t xml:space="preserve">He initialization [7] draws each weight from a zero-mean normal distribution with variance 2 / nᵀ⁵ᵃᶻₘᵉᵛʰ, and initialises every bias to zero.</w:t>
      </w:r>
    </w:p>
    <w:p>
      <w:pPr>
        <w:spacing w:after="200" w:before="120"/>
        <w:jc w:val="center"/>
      </w:pPr>
      <w:r>
        <w:rPr>
          <w:rFonts w:ascii="Cambria Math" w:cs="Cambria Math" w:eastAsia="Cambria Math" w:hAnsi="Cambria Math"/>
          <w:i/>
          <w:iCs/>
          <w:sz w:val="24"/>
          <w:szCs w:val="24"/>
        </w:rPr>
        <w:t xml:space="preserve">W^(l) ~ N(0, 2 / n^(l-1)),   b^(l) = 0</w:t>
      </w:r>
    </w:p>
    <w:p>
      <w:pPr>
        <w:spacing w:after="160" w:before="0" w:line="300"/>
      </w:pPr>
      <w:r>
        <w:t xml:space="preserve">The factor 2/n⁽ˡ⁻¹⁾ preserves activation variance across a ReLU layer. Since ReLU zeroes half its input in expectation, halving the variance, the factor 2 compensates; without it, activation magnitude decays geometrically with depth and deep networks train slowly or not at all. Biases start at zero because the weights already break symmetry.</w:t>
      </w:r>
    </w:p>
    <w:p>
      <w:pPr>
        <w:spacing w:after="160" w:before="0" w:line="300"/>
      </w:pPr>
      <w:r>
        <w:t xml:space="preserve">The alternative implemented for comparison is W ∼ 0.01·𝒩(0,1), a depth-independent scale. Experiment E1 (Section 5.4) quantifies the difference.</w:t>
      </w:r>
    </w:p>
    <w:p>
      <w:pPr>
        <w:pStyle w:val="Heading2"/>
        <w:spacing w:after="150" w:before="300"/>
      </w:pPr>
      <w:r>
        <w:t xml:space="preserve">4.5 Forward Propagation</w:t>
      </w:r>
    </w:p>
    <w:p>
      <w:pPr>
        <w:spacing w:after="160" w:before="0" w:line="300"/>
      </w:pPr>
      <w:r>
        <w:t xml:space="preserve">For l = 1 … L−1, with A⁽⁰⁾ = X:</w:t>
      </w:r>
    </w:p>
    <w:p>
      <w:pPr>
        <w:spacing w:after="200" w:before="120"/>
        <w:jc w:val="center"/>
      </w:pPr>
      <w:r>
        <w:rPr>
          <w:rFonts w:ascii="Cambria Math" w:cs="Cambria Math" w:eastAsia="Cambria Math" w:hAnsi="Cambria Math"/>
          <w:i/>
          <w:iCs/>
          <w:sz w:val="24"/>
          <w:szCs w:val="24"/>
        </w:rPr>
        <w:t xml:space="preserve">Z^(l) = W^(l) A^(l-1) + b^(l),   A^(l) = max(0, Z^(l))</w:t>
      </w:r>
    </w:p>
    <w:p>
      <w:pPr>
        <w:spacing w:after="160" w:before="0" w:line="300"/>
      </w:pPr>
      <w:r>
        <w:t xml:space="preserve">and at the output layer, softmax is applied column-wise with the maximum subtracted for numerical stability:</w:t>
      </w:r>
    </w:p>
    <w:p>
      <w:pPr>
        <w:spacing w:after="200" w:before="120"/>
        <w:jc w:val="center"/>
      </w:pPr>
      <w:r>
        <w:rPr>
          <w:rFonts w:ascii="Cambria Math" w:cs="Cambria Math" w:eastAsia="Cambria Math" w:hAnsi="Cambria Math"/>
          <w:i/>
          <w:iCs/>
          <w:sz w:val="24"/>
          <w:szCs w:val="24"/>
        </w:rPr>
        <w:t xml:space="preserve">Z^(L) = W^(L) A^(L-1) + b^(L),   Y_hat_{k,i} = exp(Z_{k,i} - max_j Z_{j,i}) / Sum_c exp(Z_{c,i} - max_j Z_{j,i})</w:t>
      </w:r>
    </w:p>
    <w:p>
      <w:pPr>
        <w:spacing w:after="160" w:before="0" w:line="300"/>
      </w:pPr>
      <w:r>
        <w:t xml:space="preserve">The subtraction of the column maximum is a numerical necessity, not a refinement: raw logits of even modest magnitude overflow the exponential in double precision. Subtracting the maximum leaves the softmax mathematically unchanged while bounding every exponent at zero.</w:t>
      </w:r>
    </w:p>
    <w:p>
      <w:pPr>
        <w:spacing w:after="160" w:before="0" w:line="300"/>
      </w:pPr>
      <w:r>
        <w:rPr>
          <w:b/>
          <w:bCs/>
        </w:rPr>
        <w:t xml:space="preserve">Caching. </w:t>
      </w:r>
      <w:r>
        <w:t xml:space="preserve">Each layer stores (A⁽ˡ⁻¹⁾, W⁽ˡ⁾, b⁽ˡ⁾) and Z⁽ˡ⁾ on the forward pass. Backpropagation requires exactly these; recomputing them would double the cost of a training step.</w:t>
      </w:r>
    </w:p>
    <w:p>
      <w:pPr>
        <w:pStyle w:val="Heading2"/>
        <w:spacing w:after="150" w:before="300"/>
      </w:pPr>
      <w:r>
        <w:t xml:space="preserve">4.6 Loss Function</w:t>
      </w:r>
    </w:p>
    <w:p>
      <w:pPr>
        <w:spacing w:after="160" w:before="0" w:line="300"/>
      </w:pPr>
      <w:r>
        <w:t xml:space="preserve">Categorical cross-entropy over m examples:</w:t>
      </w:r>
    </w:p>
    <w:p>
      <w:pPr>
        <w:spacing w:after="200" w:before="120"/>
        <w:jc w:val="center"/>
      </w:pPr>
      <w:r>
        <w:rPr>
          <w:rFonts w:ascii="Cambria Math" w:cs="Cambria Math" w:eastAsia="Cambria Math" w:hAnsi="Cambria Math"/>
          <w:i/>
          <w:iCs/>
          <w:sz w:val="24"/>
          <w:szCs w:val="24"/>
        </w:rPr>
        <w:t xml:space="preserve">J = -(1/m) Sum_i Sum_k Y_{k,i} log Y_hat_{k,i}</w:t>
      </w:r>
    </w:p>
    <w:p>
      <w:pPr>
        <w:spacing w:after="160" w:before="0" w:line="300"/>
      </w:pPr>
      <w:r>
        <w:t xml:space="preserve">Since Y is one-hot, only the true class contributes: the loss is the negative log-probability assigned to the correct answer.</w:t>
      </w:r>
    </w:p>
    <w:p>
      <w:pPr>
        <w:spacing w:after="160" w:before="0" w:line="300"/>
      </w:pPr>
      <w:r>
        <w:rPr>
          <w:b/>
          <w:bCs/>
        </w:rPr>
        <w:t xml:space="preserve">Computation from logits. </w:t>
      </w:r>
      <w:r>
        <w:t xml:space="preserve">Evaluating log(softmax(z)) in two steps risks log(0) once the network becomes confident and a probability underflows to zero. The implementation instead uses the algebraically equivalent but numerically stable form</w:t>
      </w:r>
    </w:p>
    <w:p>
      <w:pPr>
        <w:spacing w:after="200" w:before="120"/>
        <w:jc w:val="center"/>
      </w:pPr>
      <w:r>
        <w:rPr>
          <w:rFonts w:ascii="Cambria Math" w:cs="Cambria Math" w:eastAsia="Cambria Math" w:hAnsi="Cambria Math"/>
          <w:i/>
          <w:iCs/>
          <w:sz w:val="24"/>
          <w:szCs w:val="24"/>
        </w:rPr>
        <w:t xml:space="preserve">log y_hat_k = z_k - max_j z_j - log Sum_c exp(z_c - max_j z_j)</w:t>
      </w:r>
    </w:p>
    <w:p>
      <w:pPr>
        <w:spacing w:after="160" w:before="0" w:line="300"/>
      </w:pPr>
      <w:r>
        <w:t xml:space="preserve">which cannot underflow. This is why the caches retain Z rather than only A. With L2 regularization the objective gains a penalty term λ/(2m) · Σₗ ‖W⁽ˡ⁾‖²_F.</w:t>
      </w:r>
    </w:p>
    <w:p>
      <w:pPr>
        <w:pStyle w:val="Heading2"/>
        <w:spacing w:after="150" w:before="300"/>
      </w:pPr>
      <w:r>
        <w:t xml:space="preserve">4.7 Backpropagation</w:t>
      </w:r>
    </w:p>
    <w:p>
      <w:pPr>
        <w:spacing w:after="160" w:before="0" w:line="300"/>
      </w:pPr>
      <w:r>
        <w:t xml:space="preserve">At the output layer, the softmax and cross-entropy derivatives compose to the simple form dZ⁽ᴸ⁾ = Ŷ − Y, which is why the softmax branch of the backward activation is an identity pass-through. Then for l = L … 1:</w:t>
      </w:r>
    </w:p>
    <w:p>
      <w:pPr>
        <w:spacing w:after="200" w:before="120"/>
        <w:jc w:val="center"/>
      </w:pPr>
      <w:r>
        <w:rPr>
          <w:rFonts w:ascii="Cambria Math" w:cs="Cambria Math" w:eastAsia="Cambria Math" w:hAnsi="Cambria Math"/>
          <w:i/>
          <w:iCs/>
          <w:sz w:val="24"/>
          <w:szCs w:val="24"/>
        </w:rPr>
        <w:t xml:space="preserve">dW^(l) = (1/m) dZ^(l) A^(l-1)^T + (lambda/m) W^(l),   db^(l) = (1/m) Sum_i dZ^(l)_{:,i},   dA^(l-1) = W^(l)^T dZ^(l)</w:t>
      </w:r>
    </w:p>
    <w:p>
      <w:pPr>
        <w:spacing w:after="160" w:before="0" w:line="300"/>
      </w:pPr>
      <w:r>
        <w:t xml:space="preserve">and through the ReLU, dZ⁽ˡ⁾ = dA⁽ˡ⁾ ⊙ ퟙ[Z⁽ˡ⁾ &gt; 0].</w:t>
      </w:r>
    </w:p>
    <w:p>
      <w:pPr>
        <w:spacing w:after="160" w:before="0" w:line="300"/>
      </w:pPr>
      <w:r>
        <w:rPr>
          <w:b/>
          <w:bCs/>
        </w:rPr>
        <w:t xml:space="preserve">Shape assertions. </w:t>
      </w:r>
      <w:r>
        <w:t xml:space="preserve">Every gradient must match the shape of its parameter, and this is asserted at the point of computation. NumPy broadcasting will silently produce a wrongly-shaped but valid array from a transposition error, and the resulting failure surfaces many layers later as poor convergence rather than as an exception. Asserting at the source converts a silent bug into a loud one.</w:t>
      </w:r>
    </w:p>
    <w:p>
      <w:pPr>
        <w:pStyle w:val="Heading2"/>
        <w:spacing w:after="150" w:before="300"/>
      </w:pPr>
      <w:r>
        <w:t xml:space="preserve">4.8 Optimization</w:t>
      </w:r>
    </w:p>
    <w:p>
      <w:pPr>
        <w:spacing w:after="160" w:before="0" w:line="300"/>
      </w:pPr>
      <w:r>
        <w:t xml:space="preserve">Adam [8] maintains per-parameter first and second moment estimates:</w:t>
      </w:r>
    </w:p>
    <w:p>
      <w:pPr>
        <w:spacing w:after="200" w:before="120"/>
        <w:jc w:val="center"/>
      </w:pPr>
      <w:r>
        <w:rPr>
          <w:rFonts w:ascii="Cambria Math" w:cs="Cambria Math" w:eastAsia="Cambria Math" w:hAnsi="Cambria Math"/>
          <w:i/>
          <w:iCs/>
          <w:sz w:val="24"/>
          <w:szCs w:val="24"/>
        </w:rPr>
        <w:t xml:space="preserve">v_t = beta1 * v_{t-1} + (1 - beta1) dW_t,   s_t = beta2 * s_{t-1} + (1 - beta2) dW_t^2</w:t>
      </w:r>
    </w:p>
    <w:p>
      <w:pPr>
        <w:spacing w:after="160" w:before="0" w:line="300"/>
      </w:pPr>
      <w:r>
        <w:t xml:space="preserve">Both are initialised at zero and are therefore biased towards zero early in training; the bias-corrected estimates ᵛ̂_t = v_t/(1−β₁ᵗ) and ŝ_t = s_t/(1−β₂ᵗ) give the update:</w:t>
      </w:r>
    </w:p>
    <w:p>
      <w:pPr>
        <w:spacing w:after="200" w:before="120"/>
        <w:jc w:val="center"/>
      </w:pPr>
      <w:r>
        <w:rPr>
          <w:rFonts w:ascii="Cambria Math" w:cs="Cambria Math" w:eastAsia="Cambria Math" w:hAnsi="Cambria Math"/>
          <w:i/>
          <w:iCs/>
          <w:sz w:val="24"/>
          <w:szCs w:val="24"/>
        </w:rPr>
        <w:t xml:space="preserve">W_t = W_{t-1} - alpha * v_hat_t / (sqrt(s_hat_t) + epsilon)</w:t>
      </w:r>
    </w:p>
    <w:p>
      <w:pPr>
        <w:spacing w:after="160" w:before="0" w:line="300"/>
      </w:pPr>
      <w:r>
        <w:t xml:space="preserve">Defaults β₁ = 0.9, β₂ = 0.999, ε = 10⁻⁸. The counter t increments per mini-batch, not per epoch, and is never reset — the bias correction is defined in terms of the number of updates applied.</w:t>
      </w:r>
    </w:p>
    <w:p>
      <w:pPr>
        <w:spacing w:after="160" w:before="0" w:line="300"/>
      </w:pPr>
      <w:r>
        <w:t xml:space="preserve">Three alternatives are implemented for comparison: batch gradient descent (mini-batch = m), stochastic gradient descent (mini-batch = 1), and mini-batch gradient descent without adaptivity. Learning rate scheduling is available as an optional decay applied every k epochs, floored at 10⁻⁴.</w:t>
      </w:r>
    </w:p>
    <w:p>
      <w:pPr>
        <w:pStyle w:val="Heading2"/>
        <w:spacing w:after="150" w:before="300"/>
      </w:pPr>
      <w:r>
        <w:t xml:space="preserve">4.9 Regularization</w:t>
      </w:r>
    </w:p>
    <w:p>
      <w:pPr>
        <w:spacing w:after="160" w:before="0" w:line="300"/>
      </w:pPr>
      <w:r>
        <w:t xml:space="preserve">Inverted dropout [9]. During training each hidden activation is multiplied by a Bernoulli mask and divided by the keep probability:</w:t>
      </w:r>
    </w:p>
    <w:p>
      <w:pPr>
        <w:spacing w:after="200" w:before="120"/>
        <w:jc w:val="center"/>
      </w:pPr>
      <w:r>
        <w:rPr>
          <w:rFonts w:ascii="Cambria Math" w:cs="Cambria Math" w:eastAsia="Cambria Math" w:hAnsi="Cambria Math"/>
          <w:i/>
          <w:iCs/>
          <w:sz w:val="24"/>
          <w:szCs w:val="24"/>
        </w:rPr>
        <w:t xml:space="preserve">A^(l) &lt;- (A^(l) elementwise* D^(l)) / p,   D^(l)_{ij} ~ Bernoulli(p)</w:t>
      </w:r>
    </w:p>
    <w:p>
      <w:pPr>
        <w:spacing w:after="160" w:before="0" w:line="300"/>
      </w:pPr>
      <w:r>
        <w:t xml:space="preserve">The division is what makes the scheme inverted: it preserves E[A⁽ˡ⁾], so inference requires no compensating rescaling — dropout is simply not applied. The same masks are reused in the backward pass, so a dropped unit receives no gradient. Dropout is applied to hidden layers only, never to the output.</w:t>
      </w:r>
    </w:p>
    <w:p>
      <w:pPr>
        <w:spacing w:after="160" w:before="0" w:line="300"/>
      </w:pPr>
      <w:r>
        <w:t xml:space="preserve">L2 regularization, as given in Section 4.6, penalises weight magnitude. The two are treated as alternatives, not combined.</w:t>
      </w:r>
    </w:p>
    <w:p>
      <w:pPr>
        <w:spacing w:after="160" w:before="0" w:line="300"/>
      </w:pPr>
      <w:r>
        <w:rPr>
          <w:b/>
          <w:bCs/>
        </w:rPr>
        <w:t xml:space="preserve">Early stopping. </w:t>
      </w:r>
      <w:r>
        <w:t xml:space="preserve">Dev accuracy is evaluated each epoch; parameters are checkpointed whenever it improves, and after P epochs without improvement training halts and the best parameters are restored rather than the last.</w:t>
      </w:r>
    </w:p>
    <w:p>
      <w:pPr>
        <w:pStyle w:val="Heading2"/>
        <w:spacing w:after="150" w:before="300"/>
      </w:pPr>
      <w:r>
        <w:t xml:space="preserve">4.10 Data Augmentation</w:t>
      </w:r>
    </w:p>
    <w:p>
      <w:pPr>
        <w:spacing w:after="160" w:before="0" w:line="300"/>
      </w:pPr>
      <w:r>
        <w:t xml:space="preserve">Five transformations are implemented: random rotation, random shift, blur (Gaussian, maximum, minimum, median or uniform), zoom, and crop-and-pad. Each pass produces five variants per source image.</w:t>
      </w:r>
    </w:p>
    <w:p>
      <w:pPr>
        <w:spacing w:after="160" w:before="0" w:line="300"/>
      </w:pPr>
      <w:r>
        <w:rPr>
          <w:b/>
          <w:bCs/>
        </w:rPr>
        <w:t xml:space="preserve">Domain validity of transformations (contribution C3). </w:t>
      </w:r>
      <w:r>
        <w:t xml:space="preserve">The transformation set was inherited from a hand-written digit recognition system, and three choices proved invalid when re-examined for traffic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406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Transformation</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Digit Setting</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Traffic Sign Setting</w:t>
            </w:r>
          </w:p>
        </w:tc>
        <w:tc>
          <w:tcPr>
            <w:tcW w:type="dxa" w:w="40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Reason</w:t>
            </w:r>
          </w:p>
        </w:tc>
      </w:tr>
      <w:tr>
        <w:tc>
          <w:tcPr>
            <w:tcW w:type="dxa" w:w="1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Horizontal flip</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Used</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Removed</w:t>
            </w:r>
          </w:p>
        </w:tc>
        <w:tc>
          <w:tcPr>
            <w:tcW w:type="dxa" w:w="4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Signs are not chirality-invariant. A mirrored “Turn left ahead” (class 34) is a valid image of “Turn right ahead” (class 33) but retains the label 34. This manufactures mislabelled training data for eight directional classes.</w:t>
            </w:r>
          </w:p>
        </w:tc>
      </w:tr>
      <w:tr>
        <w:tc>
          <w:tcPr>
            <w:tcW w:type="dxa" w:w="1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Rotation</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w:t>
            </w:r>
          </w:p>
        </w:tc>
        <w:tc>
          <w:tcPr>
            <w:tcW w:type="dxa" w:w="40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 digit at 40° is still that digit. A sign at 40° is a photograph that does not occur; capacity spent on it is wasted.</w:t>
            </w:r>
          </w:p>
        </w:tc>
      </w:tr>
      <w:tr>
        <w:tc>
          <w:tcPr>
            <w:tcW w:type="dxa" w:w="1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Shift</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 px on 28×28 (25%)</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px on 32×32 (9%)</w:t>
            </w:r>
          </w:p>
        </w:tc>
        <w:tc>
          <w:tcPr>
            <w:tcW w:type="dxa" w:w="4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Post-ROI-crop the sign fills the frame; a 25% shift translates a substantial fraction of it out of view.</w:t>
            </w:r>
          </w:p>
        </w:tc>
      </w:tr>
    </w:tbl>
    <w:p>
      <w:pPr>
        <w:spacing w:after="160"/>
      </w:pPr>
    </w:p>
    <w:p>
      <w:pPr>
        <w:spacing w:after="160" w:before="0" w:line="300"/>
      </w:pPr>
      <w:r>
        <w:t xml:space="preserve">The horizontal flip case is the substantive one. It is not a tuning preference but a label-correctness error, and it is silent: training proceeds normally and the damage appears only as depressed accuracy on the affected classes. The function is retained in the codebase with a documented warning and is never invoked by the generator.</w:t>
      </w:r>
    </w:p>
    <w:p>
      <w:pPr>
        <w:spacing w:after="160" w:before="0" w:line="300"/>
      </w:pPr>
      <w:r>
        <w:rPr>
          <w:b/>
          <w:bCs/>
        </w:rPr>
        <w:t xml:space="preserve">Defects corrected in the antecedent codebase (contribution C5). </w:t>
      </w:r>
      <w:r>
        <w:t xml:space="preserve">Three further issues were found and fixed:</w:t>
      </w:r>
    </w:p>
    <w:p>
      <w:pPr>
        <w:pStyle w:val="ListParagraph"/>
        <w:numPr>
          <w:ilvl w:val="0"/>
          <w:numId w:val="1"/>
        </w:numPr>
        <w:spacing w:after="100"/>
      </w:pPr>
      <w:r>
        <w:t xml:space="preserve">precision() and recall() divided by zero for any class the model never predicted, returning NaN and propagating it into the macro average. With 43 classes and a long tail this is the expected case, not an edge case. Corrected to score 0.</w:t>
      </w:r>
    </w:p>
    <w:p>
      <w:pPr>
        <w:pStyle w:val="ListParagraph"/>
        <w:numPr>
          <w:ilvl w:val="0"/>
          <w:numId w:val="1"/>
        </w:numPr>
        <w:spacing w:after="100"/>
      </w:pPr>
      <w:r>
        <w:t xml:space="preserve">blur_images(filter_mode="random") — the documented default — fell through its dispatch chain to a ValueError. The random branch was reachable only via a second, separate flag.</w:t>
      </w:r>
    </w:p>
    <w:p>
      <w:pPr>
        <w:pStyle w:val="ListParagraph"/>
        <w:numPr>
          <w:ilvl w:val="0"/>
          <w:numId w:val="1"/>
        </w:numPr>
        <w:spacing w:after="100"/>
      </w:pPr>
      <w:r>
        <w:t xml:space="preserve">Early stopping wrote checkpoints to a temp/ directory in the working directory and left it behind if a run was interrupted. Moved to a managed scratch directory.</w:t>
      </w:r>
    </w:p>
    <w:p>
      <w:pPr>
        <w:spacing w:after="160" w:before="0" w:line="300"/>
      </w:pPr>
      <w:r>
        <w:t xml:space="preserve">Defects 1 and 3 are silent; only 2 announces itself.</w:t>
      </w:r>
    </w:p>
    <w:p>
      <w:r>
        <w:br w:type="page"/>
      </w:r>
    </w:p>
    <w:p>
      <w:pPr>
        <w:pStyle w:val="Heading1"/>
        <w:spacing w:after="200" w:before="400"/>
      </w:pPr>
      <w:r>
        <w:t xml:space="preserve">5. Experimental Setup</w:t>
      </w:r>
    </w:p>
    <w:p>
      <w:pPr>
        <w:pStyle w:val="Heading2"/>
        <w:spacing w:after="150" w:before="300"/>
      </w:pPr>
      <w:r>
        <w:t xml:space="preserve">5.1 Hardware and Resource Characterisation</w:t>
      </w:r>
    </w:p>
    <w:p>
      <w:pPr>
        <w:spacing w:after="160" w:before="0" w:line="300"/>
      </w:pPr>
      <w:r>
        <w:t xml:space="preserve">Resource measurements below were taken on a 2-core x86-64 Linux container. Memory figures follow from array sizes and are machine-independent; timings are a conservative upper bound, since the reference machine is deliberately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Quantity</w:t>
            </w:r>
          </w:p>
        </w:tc>
        <w:tc>
          <w:tcPr>
            <w:tcW w:type="dxa" w:w="3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Measured</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Training design matrix, (1024 × 35288) float64</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289 MB</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[1024,512,256,43]</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816 MB</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Peak RSS, [1024,1024,512,256,43]</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919 MB</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augmented (6× data)</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GB</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Time per epoch, [1024,512,256,43]</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7.0 s</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Time per epoch, [1024,1024,512,256,43]</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16.1 s</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Preprocessing throughput</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7,553 images/s</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Model size on disk</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MB</w:t>
            </w:r>
          </w:p>
        </w:tc>
      </w:tr>
    </w:tbl>
    <w:p>
      <w:pPr>
        <w:spacing w:after="160"/>
      </w:pPr>
    </w:p>
    <w:p>
      <w:pPr>
        <w:spacing w:after="160" w:before="0" w:line="300"/>
      </w:pPr>
      <w:r>
        <w:t xml:space="preserve">Memory is dominated by the design matrix, not the model: 289 MB of data against 5 MB of parameters. A 40-epoch run at the default architecture therefore completes in roughly 5 minutes on two cores and requires under 1 GB of RAM. No GPU is used or usable: the implementation is NumPy throughout and has no accelerator path.</w:t>
      </w:r>
    </w:p>
    <w:p>
      <w:pPr>
        <w:pStyle w:val="Heading2"/>
        <w:spacing w:after="150" w:before="300"/>
      </w:pPr>
      <w:r>
        <w:t xml:space="preserve">5.2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Component</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Version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3.7+ (3.11 in the container image)</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NumPy</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Pillow</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≥8.0</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SciPy</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 (augmentation only)</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Matplotlib</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≥3.3 (visualisation only)</w:t>
            </w:r>
          </w:p>
        </w:tc>
      </w:tr>
    </w:tbl>
    <w:p>
      <w:pPr>
        <w:spacing w:after="160"/>
      </w:pPr>
    </w:p>
    <w:p>
      <w:pPr>
        <w:spacing w:after="160" w:before="0" w:line="300"/>
      </w:pPr>
      <w:r>
        <w:t xml:space="preserve">A Dockerfile and docker-compose.yml pin the full environment. No machine learning framework is present, by design.</w:t>
      </w:r>
    </w:p>
    <w:p>
      <w:pPr>
        <w:pStyle w:val="Heading2"/>
        <w:spacing w:after="150" w:before="300"/>
      </w:pPr>
      <w:r>
        <w:t xml:space="preserve">5.3 Protocol</w:t>
      </w:r>
    </w:p>
    <w:p>
      <w:pPr>
        <w:spacing w:after="160" w:before="0" w:line="300"/>
      </w:pPr>
      <w:r>
        <w:rPr>
          <w:b/>
          <w:bCs/>
        </w:rPr>
        <w:t xml:space="preserve">Partitioning. </w:t>
      </w:r>
      <w:r>
        <w:t xml:space="preserve">The official GTSRB train/test split is preserved. A 10% development partition is drawn at random from the training set, giving 35,288 training / 3,921 dev / 12,630 test.</w:t>
      </w:r>
    </w:p>
    <w:p>
      <w:pPr>
        <w:spacing w:after="160" w:before="0" w:line="300"/>
      </w:pPr>
      <w:r>
        <w:rPr>
          <w:b/>
          <w:bCs/>
        </w:rPr>
        <w:t xml:space="preserve">Test set discipline. </w:t>
      </w:r>
      <w:r>
        <w:t xml:space="preserve">The test partition is used exactly once, for final evaluation. All model selection, hyperparameter choice and early stopping use the dev partition only. Repeatedly consulting the test set and adjusting in response leaks information and inflates the reported figure.</w:t>
      </w:r>
    </w:p>
    <w:p>
      <w:pPr>
        <w:spacing w:after="160" w:before="0" w:line="300"/>
      </w:pPr>
      <w:r>
        <w:rPr>
          <w:b/>
          <w:bCs/>
        </w:rPr>
        <w:t xml:space="preserve">Seeding. </w:t>
      </w:r>
      <w:r>
        <w:t xml:space="preserve">np.random.seed(1) is set at entry to every script. Given identical data and flags, runs are reproducible.</w:t>
      </w:r>
    </w:p>
    <w:p>
      <w:pPr>
        <w:pStyle w:val="Heading3"/>
        <w:spacing w:after="120" w:before="240"/>
      </w:pPr>
      <w:r>
        <w:t xml:space="preserve">Baseline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Hyperparameter</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Architecture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[1024, 512, 256, 43]</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Initialization</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Optimizer</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(β₁=0.9, β₂=0.999, ε=10⁻⁸)</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0.001</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Mini-batch size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128</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Epochs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Regularization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 = 0.8</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Early stopping patience</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epochs</w:t>
            </w:r>
          </w:p>
        </w:tc>
      </w:tr>
    </w:tbl>
    <w:p>
      <w:pPr>
        <w:spacing w:after="160"/>
      </w:pPr>
    </w:p>
    <w:p>
      <w:pPr>
        <w:pStyle w:val="Heading2"/>
        <w:spacing w:after="150" w:before="300"/>
      </w:pPr>
      <w:r>
        <w:t xml:space="preserve">5.4 Planned Experiments</w:t>
      </w:r>
    </w:p>
    <w:p>
      <w:pPr>
        <w:spacing w:after="160" w:before="0" w:line="300"/>
      </w:pPr>
      <w:r>
        <w:t xml:space="preserve">Each varies one factor from the baseline; all other settings and the seed are held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266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Question</w:t>
            </w:r>
          </w:p>
        </w:tc>
        <w:tc>
          <w:tcPr>
            <w:tcW w:type="dxa" w:w="3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Conditions</w:t>
            </w:r>
          </w:p>
        </w:tc>
        <w:tc>
          <w:tcPr>
            <w:tcW w:type="dxa" w:w="2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E0</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Baseline</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As above</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 train.py --epochs 40</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E1</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He initialization help?</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he vs random</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--initialization {he,random}</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E2</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adaptivity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vs mgd vs bgd</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--optimizer {adam,mgd,bgd}</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E3</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Which regularizer?</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dropout (p∈{.6,.7,.8,.9}) vs l2 (λ∈{.1,.4,.7,1.0}) vs none</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--regularizer ...</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E4</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depth or width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[256], [512,256], [1024,512,256], [1024,512,256,128]</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--hidden ...</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E5</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augmentation help?</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With and without 6× augmented data</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--use-augmented</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E6</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LR decay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None vs decay every 10 epochs</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--step-decay {0,10}</w:t>
            </w:r>
          </w:p>
        </w:tc>
      </w:tr>
    </w:tbl>
    <w:p>
      <w:pPr>
        <w:spacing w:after="160"/>
      </w:pPr>
    </w:p>
    <w:p>
      <w:pPr>
        <w:spacing w:after="160" w:before="0" w:line="300"/>
      </w:pPr>
      <w:r>
        <w:t xml:space="preserve">E1 and E2 are expected to show large effects in early epochs and converge later. E3 and E4 trade bias against variance. E5 is the test of the augmentation analysis in Section 4.9. Each configuration should be run with at least three seeds and reported as mean ± standard deviation; single-run differences on this dataset are not reliably distinguishable from seed noise.</w:t>
      </w:r>
    </w:p>
    <w:p>
      <w:r>
        <w:br w:type="page"/>
      </w:r>
    </w:p>
    <w:p>
      <w:pPr>
        <w:pStyle w:val="Heading1"/>
        <w:spacing w:after="200" w:before="400"/>
      </w:pPr>
      <w:r>
        <w:t xml:space="preserve">6. Evaluation Metrics</w:t>
      </w:r>
    </w:p>
    <w:p>
      <w:pPr>
        <w:pStyle w:val="Heading2"/>
        <w:spacing w:after="150" w:before="300"/>
      </w:pPr>
      <w:r>
        <w:t xml:space="preserve">6.1 Why Accuracy Is Insufficient</w:t>
      </w:r>
    </w:p>
    <w:p>
      <w:pPr>
        <w:spacing w:after="160" w:before="0" w:line="300"/>
      </w:pPr>
      <w:r>
        <w:t xml:space="preserve">With a 10.7:1 imbalance, a model that performs well on the frequent classes and poorly on the rare ones posts a respectable accuracy. Accuracy is reported for comparability with the literature but is not the headline metric here.</w:t>
      </w:r>
    </w:p>
    <w:p>
      <w:pPr>
        <w:pStyle w:val="Heading2"/>
        <w:spacing w:after="150" w:before="300"/>
      </w:pPr>
      <w:r>
        <w:t xml:space="preserve">6.2 Per-Class Metrics</w:t>
      </w:r>
    </w:p>
    <w:p>
      <w:pPr>
        <w:spacing w:after="160" w:before="0" w:line="300"/>
      </w:pPr>
      <w:r>
        <w:t xml:space="preserve">For class k with confusion matrix C (rows true, columns predicted):</w:t>
      </w:r>
    </w:p>
    <w:p>
      <w:pPr>
        <w:spacing w:after="200" w:before="120"/>
        <w:jc w:val="center"/>
      </w:pPr>
      <w:r>
        <w:rPr>
          <w:rFonts w:ascii="Cambria Math" w:cs="Cambria Math" w:eastAsia="Cambria Math" w:hAnsi="Cambria Math"/>
          <w:i/>
          <w:iCs/>
          <w:sz w:val="24"/>
          <w:szCs w:val="24"/>
        </w:rPr>
        <w:t xml:space="preserve">Precision_k = C_{kk} / Sum_i C_{ik},   Recall_k = C_{kk} / Sum_j C_{kj},   F1_k = 2 * P_k * R_k / (P_k + R_k)</w:t>
      </w:r>
    </w:p>
    <w:p>
      <w:pPr>
        <w:spacing w:after="160" w:before="0" w:line="300"/>
      </w:pPr>
      <w:r>
        <w:t xml:space="preserve">Precision answers “when it says class k, is it right?”; recall answers “of the true class-k images, how many did it find?”. Both denominators can be zero — precision's when the class is never predicted, recall's when it is absent from the split — and both cases are handled explicitly (Section 4.10).</w:t>
      </w:r>
    </w:p>
    <w:p>
      <w:pPr>
        <w:spacing w:after="160" w:before="0" w:line="300"/>
      </w:pPr>
      <w:r>
        <w:t xml:space="preserve">For traffic signs the asymmetry is real: low recall on “Stop” means missing stop signs, which is materially worse than low precision on the same class.</w:t>
      </w:r>
    </w:p>
    <w:p>
      <w:pPr>
        <w:pStyle w:val="Heading2"/>
        <w:spacing w:after="150" w:before="300"/>
      </w:pPr>
      <w:r>
        <w:t xml:space="preserve">6.3 Macro Averaging</w:t>
      </w:r>
    </w:p>
    <w:p>
      <w:pPr>
        <w:spacing w:after="200" w:before="120"/>
        <w:jc w:val="center"/>
      </w:pPr>
      <w:r>
        <w:rPr>
          <w:rFonts w:ascii="Cambria Math" w:cs="Cambria Math" w:eastAsia="Cambria Math" w:hAnsi="Cambria Math"/>
          <w:i/>
          <w:iCs/>
          <w:sz w:val="24"/>
          <w:szCs w:val="24"/>
        </w:rPr>
        <w:t xml:space="preserve">Macro-F1 = (1/43) Sum_k F1_k</w:t>
      </w:r>
    </w:p>
    <w:p>
      <w:pPr>
        <w:spacing w:after="160" w:before="0" w:line="300"/>
      </w:pPr>
      <w:r>
        <w:t xml:space="preserve">The unweighted mean gives a rare class exactly the weight of a common one. Macro-F1 is the headline metric for this work.</w:t>
      </w:r>
    </w:p>
    <w:p>
      <w:pPr>
        <w:pStyle w:val="Heading2"/>
        <w:spacing w:after="150" w:before="300"/>
      </w:pPr>
      <w:r>
        <w:t xml:space="preserve">6.4 Top-2 Accuracy</w:t>
      </w:r>
    </w:p>
    <w:p>
      <w:pPr>
        <w:spacing w:after="160" w:before="0" w:line="300"/>
      </w:pPr>
      <w:r>
        <w:t xml:space="preserve">The classifier reports a second prediction, obtained by taking the argmax after suppressing the winner. Top-2 accuracy is informative here because several class pairs are near-identical at 32×32: a model frequently right in second place is confusing a specific pair, which is a different and more tractable failure than not perceiving the sign at all.</w:t>
      </w:r>
    </w:p>
    <w:p>
      <w:pPr>
        <w:pStyle w:val="Heading2"/>
        <w:spacing w:after="150" w:before="300"/>
      </w:pPr>
      <w:r>
        <w:t xml:space="preserve">6.5 Confidence Calibration</w:t>
      </w:r>
    </w:p>
    <w:p>
      <w:pPr>
        <w:spacing w:after="160" w:before="0" w:line="300"/>
      </w:pPr>
      <w:r>
        <w:t xml:space="preserve">Mean softmax confidence is reported separately over correct and incorrect predictions. A well-calibrated model is markedly less confident when wrong, which makes the confidence score usable as a rejection threshold in deployment — a property with direct safety relevance.</w:t>
      </w:r>
    </w:p>
    <w:p>
      <w:pPr>
        <w:pStyle w:val="Heading2"/>
        <w:spacing w:after="150" w:before="300"/>
      </w:pPr>
      <w:r>
        <w:t xml:space="preserve">6.6 Reported Artefacts</w:t>
      </w:r>
    </w:p>
    <w:p>
      <w:pPr>
        <w:pStyle w:val="ListParagraph"/>
        <w:numPr>
          <w:ilvl w:val="0"/>
          <w:numId w:val="1"/>
        </w:numPr>
        <w:spacing w:after="100"/>
      </w:pPr>
      <w:r>
        <w:t xml:space="preserve">Overall accuracy, macro-precision, macro-recall, macro-F1</w:t>
      </w:r>
    </w:p>
    <w:p>
      <w:pPr>
        <w:pStyle w:val="ListParagraph"/>
        <w:numPr>
          <w:ilvl w:val="0"/>
          <w:numId w:val="1"/>
        </w:numPr>
        <w:spacing w:after="100"/>
      </w:pPr>
      <w:r>
        <w:t xml:space="preserve">Per-class precision, recall, F1 (43 rows)</w:t>
      </w:r>
    </w:p>
    <w:p>
      <w:pPr>
        <w:pStyle w:val="ListParagraph"/>
        <w:numPr>
          <w:ilvl w:val="0"/>
          <w:numId w:val="1"/>
        </w:numPr>
        <w:spacing w:after="100"/>
      </w:pPr>
      <w:r>
        <w:t xml:space="preserve">43×43 confusion matrix</w:t>
      </w:r>
    </w:p>
    <w:p>
      <w:pPr>
        <w:pStyle w:val="ListParagraph"/>
        <w:numPr>
          <w:ilvl w:val="0"/>
          <w:numId w:val="1"/>
        </w:numPr>
        <w:spacing w:after="100"/>
      </w:pPr>
      <w:r>
        <w:t xml:space="preserve">Top-1 and top-2 accuracy</w:t>
      </w:r>
    </w:p>
    <w:p>
      <w:pPr>
        <w:pStyle w:val="ListParagraph"/>
        <w:numPr>
          <w:ilvl w:val="0"/>
          <w:numId w:val="1"/>
        </w:numPr>
        <w:spacing w:after="100"/>
      </w:pPr>
      <w:r>
        <w:t xml:space="preserve">Mean confidence, correct vs incorrect</w:t>
      </w:r>
    </w:p>
    <w:p>
      <w:pPr>
        <w:pStyle w:val="ListParagraph"/>
        <w:numPr>
          <w:ilvl w:val="0"/>
          <w:numId w:val="1"/>
        </w:numPr>
        <w:spacing w:after="100"/>
      </w:pPr>
      <w:r>
        <w:t xml:space="preserve">Training and dev loss/accuracy curves</w:t>
      </w:r>
    </w:p>
    <w:p>
      <w:pPr>
        <w:pStyle w:val="ListParagraph"/>
        <w:numPr>
          <w:ilvl w:val="0"/>
          <w:numId w:val="1"/>
        </w:numPr>
        <w:spacing w:after="100"/>
      </w:pPr>
      <w:r>
        <w:t xml:space="preserve">Sample grid of misclassified images</w:t>
      </w:r>
    </w:p>
    <w:p>
      <w:r>
        <w:br w:type="page"/>
      </w:r>
    </w:p>
    <w:p>
      <w:pPr>
        <w:pStyle w:val="Heading1"/>
        <w:spacing w:after="200" w:before="400"/>
      </w:pPr>
      <w:r>
        <w:t xml:space="preserve">7. Results</w:t>
      </w:r>
    </w:p>
    <w:p>
      <w:pPr>
        <w:spacing w:after="160" w:before="0" w:line="300"/>
      </w:pPr>
      <w:r>
        <w:rPr>
          <w:b/>
          <w:bCs/>
          <w:color w:val="B00000"/>
        </w:rPr>
        <w:t xml:space="preserve">⚠ THIS SECTION IS A TEMPLATE. </w:t>
      </w:r>
      <w:r>
        <w:rPr>
          <w:i/>
          <w:iCs/>
        </w:rPr>
        <w:t xml:space="preserve">No training run has been performed. Every table below is produced by the commands given in Section 7.0. Fill them in from your own runs; do not cite any figure from this section until you have.</w:t>
      </w:r>
    </w:p>
    <w:p>
      <w:pPr>
        <w:pStyle w:val="Heading2"/>
        <w:spacing w:after="150" w:before="300"/>
      </w:pPr>
      <w:r>
        <w:t xml:space="preserve">7.0 How to Generate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Item</w:t>
            </w:r>
          </w:p>
        </w:tc>
        <w:tc>
          <w:tcPr>
            <w:tcW w:type="dxa" w:w="60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c>
          <w:tcPr>
            <w:tcW w:type="dxa" w:w="3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Table 7.1, Figures 7.1–7.2</w:t>
            </w:r>
          </w:p>
        </w:tc>
        <w:tc>
          <w:tcPr>
            <w:tcW w:type="dxa" w:w="6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 train.py --epochs 40 --out models/e0_baseline</w:t>
            </w:r>
          </w:p>
        </w:tc>
      </w:tr>
      <w:tr>
        <w:tc>
          <w:tcPr>
            <w:tcW w:type="dxa" w:w="3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Tables 7.2–7.3, Figure 7.3</w:t>
            </w:r>
          </w:p>
        </w:tc>
        <w:tc>
          <w:tcPr>
            <w:tcW w:type="dxa" w:w="60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python evaluate.py --model models/e0_baseline</w:t>
            </w:r>
          </w:p>
        </w:tc>
      </w:tr>
      <w:tr>
        <w:tc>
          <w:tcPr>
            <w:tcW w:type="dxa" w:w="3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Table 7.4 (E1)</w:t>
            </w:r>
          </w:p>
        </w:tc>
        <w:tc>
          <w:tcPr>
            <w:tcW w:type="dxa" w:w="6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 train.py --initialization random --out models/e1_random</w:t>
            </w:r>
          </w:p>
        </w:tc>
      </w:tr>
      <w:tr>
        <w:tc>
          <w:tcPr>
            <w:tcW w:type="dxa" w:w="3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Table 7.5 (E2)</w:t>
            </w:r>
          </w:p>
        </w:tc>
        <w:tc>
          <w:tcPr>
            <w:tcW w:type="dxa" w:w="60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python train.py --optimizer mgd --out models/e2_mgd</w:t>
            </w:r>
          </w:p>
        </w:tc>
      </w:tr>
      <w:tr>
        <w:tc>
          <w:tcPr>
            <w:tcW w:type="dxa" w:w="3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Table 7.6 (E3)</w:t>
            </w:r>
          </w:p>
        </w:tc>
        <w:tc>
          <w:tcPr>
            <w:tcW w:type="dxa" w:w="6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Vary --regularizer / --keep-prob / --lambd</w:t>
            </w:r>
          </w:p>
        </w:tc>
      </w:tr>
      <w:tr>
        <w:tc>
          <w:tcPr>
            <w:tcW w:type="dxa" w:w="3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Table 7.7 (E4)</w:t>
            </w:r>
          </w:p>
        </w:tc>
        <w:tc>
          <w:tcPr>
            <w:tcW w:type="dxa" w:w="60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Vary --hidden</w:t>
            </w:r>
          </w:p>
        </w:tc>
      </w:tr>
      <w:tr>
        <w:tc>
          <w:tcPr>
            <w:tcW w:type="dxa" w:w="3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Table 7.8 (E5)</w:t>
            </w:r>
          </w:p>
        </w:tc>
        <w:tc>
          <w:tcPr>
            <w:tcW w:type="dxa" w:w="6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 augment.py then python train.py --use-augmented</w:t>
            </w:r>
          </w:p>
        </w:tc>
      </w:tr>
    </w:tbl>
    <w:p>
      <w:pPr>
        <w:spacing w:after="160"/>
      </w:pPr>
    </w:p>
    <w:p>
      <w:pPr>
        <w:pStyle w:val="Heading2"/>
        <w:spacing w:after="150" w:before="300"/>
      </w:pPr>
      <w:r>
        <w:t xml:space="preserve">7.1 Baseline Performance</w:t>
      </w:r>
    </w:p>
    <w:p>
      <w:pPr>
        <w:spacing w:after="240" w:before="80"/>
        <w:jc w:val="center"/>
      </w:pPr>
      <w:r>
        <w:rPr>
          <w:i/>
          <w:iCs/>
          <w:color w:val="555555"/>
          <w:sz w:val="20"/>
          <w:szCs w:val="20"/>
        </w:rPr>
        <w:t xml:space="preserve">Table 7.1 — Baseline (E0)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Metric</w:t>
            </w:r>
          </w:p>
        </w:tc>
        <w:tc>
          <w:tcPr>
            <w:tcW w:type="dxa" w:w="3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accuracy (top-1)</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Test accuracy (top-2)</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Macro-precision</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Macro-recall</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Macro-F1</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Final training accuracy</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Final dev accuracy</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Train–dev gap</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Epochs completed (of 40)</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Early stopping triggered</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Yes / No</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Wall-clock training time</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Mean confidence when correct</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_____</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Mean confidence when incorrect</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_____</w:t>
            </w:r>
          </w:p>
        </w:tc>
      </w:tr>
    </w:tbl>
    <w:p>
      <w:pPr>
        <w:spacing w:after="160"/>
      </w:pPr>
    </w:p>
    <w:p>
      <w:pPr>
        <w:spacing w:after="240" w:before="80"/>
        <w:jc w:val="center"/>
      </w:pPr>
      <w:r>
        <w:rPr>
          <w:i/>
          <w:iCs/>
          <w:color w:val="555555"/>
          <w:sz w:val="20"/>
          <w:szCs w:val="20"/>
        </w:rPr>
        <w:t xml:space="preserve">Figure 7.1 — Training and dev loss (insert plot from train.py output).</w:t>
      </w:r>
    </w:p>
    <w:p>
      <w:pPr>
        <w:spacing w:after="240" w:before="80"/>
        <w:jc w:val="center"/>
      </w:pPr>
      <w:r>
        <w:rPr>
          <w:i/>
          <w:iCs/>
          <w:color w:val="555555"/>
          <w:sz w:val="20"/>
          <w:szCs w:val="20"/>
        </w:rPr>
        <w:t xml:space="preserve">Figure 7.2 — Training and dev accuracy (insert plot from train.py output).</w:t>
      </w:r>
    </w:p>
    <w:p>
      <w:pPr>
        <w:pStyle w:val="Heading2"/>
        <w:spacing w:after="150" w:before="300"/>
      </w:pPr>
      <w:r>
        <w:t xml:space="preserve">7.2 Per-Class Performance</w:t>
      </w:r>
    </w:p>
    <w:p>
      <w:pPr>
        <w:spacing w:after="240" w:before="80"/>
        <w:jc w:val="center"/>
      </w:pPr>
      <w:r>
        <w:rPr>
          <w:i/>
          <w:iCs/>
          <w:color w:val="555555"/>
          <w:sz w:val="20"/>
          <w:szCs w:val="20"/>
        </w:rPr>
        <w:t xml:space="preserve">Table 7.2 — Per-class metrics (43 rows — populate from evaluate.py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1400"/>
        <w:gridCol w:w="1100"/>
        <w:gridCol w:w="1100"/>
        <w:gridCol w:w="110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37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Name</w:t>
            </w:r>
          </w:p>
        </w:tc>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Support</w:t>
            </w:r>
          </w:p>
        </w:tc>
        <w:tc>
          <w:tcPr>
            <w:tcW w:type="dxa" w:w="1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Precision</w:t>
            </w:r>
          </w:p>
        </w:tc>
        <w:tc>
          <w:tcPr>
            <w:tcW w:type="dxa" w:w="1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Recall</w:t>
            </w:r>
          </w:p>
        </w:tc>
        <w:tc>
          <w:tcPr>
            <w:tcW w:type="dxa" w:w="1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F1</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w:t>
            </w:r>
          </w:p>
        </w:tc>
        <w:tc>
          <w:tcPr>
            <w:tcW w:type="dxa" w:w="3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20</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3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3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3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Macro average</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240" w:before="80"/>
        <w:jc w:val="center"/>
      </w:pPr>
      <w:r>
        <w:rPr>
          <w:i/>
          <w:iCs/>
          <w:color w:val="555555"/>
          <w:sz w:val="20"/>
          <w:szCs w:val="20"/>
        </w:rPr>
        <w:t xml:space="preserve">Table 7.3 — Ten weakest classes by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160"/>
        <w:gridCol w:w="1500"/>
        <w:gridCol w:w="140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4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Name</w:t>
            </w:r>
          </w:p>
        </w:tc>
        <w:tc>
          <w:tcPr>
            <w:tcW w:type="dxa" w:w="15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F1</w:t>
            </w:r>
          </w:p>
        </w:tc>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Support</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240" w:before="80"/>
        <w:jc w:val="center"/>
      </w:pPr>
      <w:r>
        <w:rPr>
          <w:i/>
          <w:iCs/>
          <w:color w:val="555555"/>
          <w:sz w:val="20"/>
          <w:szCs w:val="20"/>
        </w:rPr>
        <w:t xml:space="preserve">Figure 7.3 — 43×43 confusion matrix (insert heat map from evaluate.py output).</w:t>
      </w:r>
    </w:p>
    <w:p>
      <w:pPr>
        <w:spacing w:after="160" w:before="0" w:line="300"/>
      </w:pPr>
      <w:r>
        <w:rPr>
          <w:b/>
          <w:bCs/>
        </w:rPr>
        <w:t xml:space="preserve">Correlation between class support and F1: </w:t>
      </w:r>
      <w:r>
        <w:t xml:space="preserve">_____ (a strong positive correlation indicates the weak classes are weak because they are rare, which points at class weighting rather than architecture).</w:t>
      </w:r>
    </w:p>
    <w:p>
      <w:pPr>
        <w:pStyle w:val="Heading2"/>
        <w:spacing w:after="150" w:before="300"/>
      </w:pPr>
      <w:r>
        <w:t xml:space="preserve">7.3 Most Frequent Confusions</w:t>
      </w:r>
    </w:p>
    <w:p>
      <w:pPr>
        <w:spacing w:after="240" w:before="80"/>
        <w:jc w:val="center"/>
      </w:pPr>
      <w:r>
        <w:rPr>
          <w:i/>
          <w:iCs/>
          <w:color w:val="555555"/>
          <w:sz w:val="20"/>
          <w:szCs w:val="20"/>
        </w:rPr>
        <w:t xml:space="preserve">Table 7.4 — Top ten confused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3660"/>
      </w:tblGrid>
      <w:tr>
        <w:trPr>
          <w:tblHeader/>
        </w:trPr>
        <w:tc>
          <w:tcPr>
            <w:tcW w:type="dxa" w:w="13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Count</w:t>
            </w:r>
          </w:p>
        </w:tc>
        <w:tc>
          <w:tcPr>
            <w:tcW w:type="dxa" w:w="2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True Class</w:t>
            </w:r>
          </w:p>
        </w:tc>
        <w:tc>
          <w:tcPr>
            <w:tcW w:type="dxa" w:w="2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Predicted Class</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Plausible Cause</w:t>
            </w:r>
          </w:p>
        </w:tc>
      </w:tr>
      <w:tr>
        <w:tc>
          <w:tcPr>
            <w:tcW w:type="dxa" w:w="1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160" w:before="0" w:line="300"/>
      </w:pPr>
      <w:r>
        <w:t xml:space="preserve">Expected pattern: clustering among the speed limits (0–8), which differ only in their digits, and among the triangular warning signs (18–31), which share an outline.</w:t>
      </w:r>
    </w:p>
    <w:p>
      <w:pPr>
        <w:pStyle w:val="Heading2"/>
        <w:spacing w:after="150" w:before="300"/>
      </w:pPr>
      <w:r>
        <w:t xml:space="preserve">7.4 Ablation Results</w:t>
      </w:r>
    </w:p>
    <w:p>
      <w:pPr>
        <w:spacing w:after="160" w:before="0" w:line="300"/>
      </w:pPr>
      <w:r>
        <w:t xml:space="preserve">Table 7.5 — Initialization (E1) · Table 7.6 — Optimizer (E2) · Table 7.7 — Regularization (E3) · Table 7.8 — Architecture (E4) · Table 7.9 — Augmentation (E5) · Table 7.10 — LR decay (E6)</w:t>
      </w:r>
    </w:p>
    <w:p>
      <w:pPr>
        <w:spacing w:after="160" w:before="0" w:line="300"/>
      </w:pPr>
      <w:r>
        <w:t xml:space="preserve">Each: condition | macro-F1 | test accuracy | epochs to converge | train–dev gap. Report mean ± sd over ≥3 seeds.</w:t>
      </w:r>
    </w:p>
    <w:p>
      <w:r>
        <w:br w:type="page"/>
      </w:r>
    </w:p>
    <w:p>
      <w:pPr>
        <w:pStyle w:val="Heading1"/>
        <w:spacing w:after="200" w:before="400"/>
      </w:pPr>
      <w:r>
        <w:t xml:space="preserve">8. Discussion</w:t>
      </w:r>
    </w:p>
    <w:p>
      <w:pPr>
        <w:spacing w:after="160" w:before="0" w:line="300"/>
      </w:pPr>
      <w:r>
        <w:t xml:space="preserve">Sections 8.1–8.3 are to be written against your results once Section 7 is filled in. The questions to answer are stated below. Section 8.4 is an architectural analysis that holds independently of any run.</w:t>
      </w:r>
    </w:p>
    <w:p>
      <w:pPr>
        <w:pStyle w:val="Heading2"/>
        <w:spacing w:after="150" w:before="300"/>
      </w:pPr>
      <w:r>
        <w:t xml:space="preserve">8.1 Baseline Interpretation (to be completed)</w:t>
      </w:r>
    </w:p>
    <w:p>
      <w:pPr>
        <w:spacing w:after="160" w:before="0" w:line="300"/>
      </w:pPr>
      <w:r>
        <w:t xml:space="preserve">Address: How does macro-F1 compare to accuracy, and what does the gap say about per-class behaviour? Does the train–dev gap indicate over- or underfitting? Did early stopping trigger, and what does that imply about the epoch budget? Is the model well calibrated by the Section 6.5 measure?</w:t>
      </w:r>
    </w:p>
    <w:p>
      <w:pPr>
        <w:pStyle w:val="Heading2"/>
        <w:spacing w:after="150" w:before="300"/>
      </w:pPr>
      <w:r>
        <w:t xml:space="preserve">8.2 Ablation Interpretation (to be completed)</w:t>
      </w:r>
    </w:p>
    <w:p>
      <w:pPr>
        <w:spacing w:after="160" w:before="0" w:line="300"/>
      </w:pPr>
      <w:r>
        <w:t xml:space="preserve">Address each experiment: did He initialization help, and in final performance or only convergence speed? Did Adam's advantage persist to convergence or only accelerate early epochs? Which regularizer won, and does that indicate the network is over- or under-parameterised for this data? How did performance scale with depth and width, and where did it turn over? Did augmentation help, and was the gain concentrated in the rare classes as predicted?</w:t>
      </w:r>
    </w:p>
    <w:p>
      <w:pPr>
        <w:pStyle w:val="Heading2"/>
        <w:spacing w:after="150" w:before="300"/>
      </w:pPr>
      <w:r>
        <w:t xml:space="preserve">8.3 Error Analysis (to be completed)</w:t>
      </w:r>
    </w:p>
    <w:p>
      <w:pPr>
        <w:spacing w:after="160" w:before="0" w:line="300"/>
      </w:pPr>
      <w:r>
        <w:t xml:space="preserve">Address: Are confusions concentrated in the visually similar groups predicted in Section 7.3? Do the misclassified images share identifiable properties — blur, angle, low contrast, small original size? Does top-2 accuracy substantially exceed top-1, and for which classes?</w:t>
      </w:r>
    </w:p>
    <w:p>
      <w:pPr>
        <w:pStyle w:val="Heading2"/>
        <w:spacing w:after="150" w:before="300"/>
      </w:pPr>
      <w:r>
        <w:t xml:space="preserve">8.4 The Architectural Ceiling (Analysis, Independent of Results)</w:t>
      </w:r>
    </w:p>
    <w:p>
      <w:pPr>
        <w:spacing w:after="160" w:before="0" w:line="300"/>
      </w:pPr>
      <w:r>
        <w:t xml:space="preserve">The dominant limitation is structural, and worth stating precisely because it is the whole reason this architecture underperforms the state of the art.</w:t>
      </w:r>
    </w:p>
    <w:p>
      <w:pPr>
        <w:spacing w:after="160" w:before="0" w:line="300"/>
      </w:pPr>
      <w:r>
        <w:rPr>
          <w:b/>
          <w:bCs/>
        </w:rPr>
        <w:t xml:space="preserve">No translation invariance. </w:t>
      </w:r>
      <w:r>
        <w:t xml:space="preserve">A fully connected layer assigns an independent weight to each input coordinate. Input pixel 100 and input pixel 101 are, to the network, unrelated variables — the fact that they are horizontally adjacent is information the architecture cannot represent. A sign shifted three pixels right is a substantially different input vector, and the network must learn its appearance separately at every position it can occupy. Convolutional networks solve this by weight sharing: one learned filter is applied at every position, so a feature learned at one location transfers to all others for free.</w:t>
      </w:r>
    </w:p>
    <w:p>
      <w:pPr>
        <w:spacing w:after="160" w:before="0" w:line="300"/>
      </w:pPr>
      <w:r>
        <w:rPr>
          <w:b/>
          <w:bCs/>
        </w:rPr>
        <w:t xml:space="preserve">No spatial locality. </w:t>
      </w:r>
      <w:r>
        <w:t xml:space="preserve">Every hidden unit in layer 1 sees all 1,024 inputs at once. There is no architectural pressure towards local features — edges, corners, strokes — that compose into larger structures. The hierarchical composition that makes CNNs sample-efficient on images is unavailable.</w:t>
      </w:r>
    </w:p>
    <w:p>
      <w:pPr>
        <w:spacing w:after="160" w:before="0" w:line="300"/>
      </w:pPr>
      <w:r>
        <w:rPr>
          <w:b/>
          <w:bCs/>
        </w:rPr>
        <w:t xml:space="preserve">The consequence is sample efficiency, not capacity. </w:t>
      </w:r>
      <w:r>
        <w:t xml:space="preserve">By the universal approximation theorem [5], the network could represent a good classifier. It would need vastly more data to find one, because it must learn from examples what a convolutional architecture is given by construction. Section 2.1 shows the empirical size of the gap: 99.46% for a CNN committee against 95.68% for classical LDA on HOG features, with an MLP on raw pixels expected below the latter.</w:t>
      </w:r>
    </w:p>
    <w:p>
      <w:pPr>
        <w:spacing w:after="160" w:before="0" w:line="300"/>
      </w:pPr>
      <w:r>
        <w:t xml:space="preserve">This is a well-understood limitation and the reason the field moved to convolutional architectures for vision. Documenting it precisely is more useful than obscuring it.</w:t>
      </w:r>
    </w:p>
    <w:p>
      <w:r>
        <w:br w:type="page"/>
      </w:r>
    </w:p>
    <w:p>
      <w:pPr>
        <w:pStyle w:val="Heading1"/>
        <w:spacing w:after="200" w:before="400"/>
      </w:pPr>
      <w:r>
        <w:t xml:space="preserve">9. Limitations and Threats to Validity</w:t>
      </w:r>
    </w:p>
    <w:p>
      <w:pPr>
        <w:pStyle w:val="Heading2"/>
        <w:spacing w:after="150" w:before="300"/>
      </w:pPr>
      <w:r>
        <w:t xml:space="preserve">9.1 Grayscale Conversion Discards Regulatory Colour</w:t>
      </w:r>
    </w:p>
    <w:p>
      <w:pPr>
        <w:spacing w:after="160" w:before="0" w:line="300"/>
      </w:pPr>
      <w:r>
        <w:t xml:space="preserve">German traffic signs encode meaning in colour by regulation: red borders for prohibitory, blue for mandatory, yellow for temporary. Grayscale conversion discards this. The trade-off was taken to keep the input dimension at 1,024 (Section 4.2), and Sermanet and LeCun [3] report the cost on GTSRB is modest — but it is a cost, and it is likely concentrated exactly where colour is the main discriminant between otherwise similar shapes.</w:t>
      </w:r>
    </w:p>
    <w:p>
      <w:pPr>
        <w:pStyle w:val="Heading2"/>
        <w:spacing w:after="150" w:before="300"/>
      </w:pPr>
      <w:r>
        <w:t xml:space="preserve">9.2 Recognition, Not Detection</w:t>
      </w:r>
    </w:p>
    <w:p>
      <w:pPr>
        <w:spacing w:after="160" w:before="0" w:line="300"/>
      </w:pPr>
      <w:r>
        <w:t xml:space="preserve">The system classifies images that already contain one cropped, centred sign, using ROI annotations supplied by the benchmark. A deployed system must first find signs in a full scene. This is a distinct problem requiring a detector, and no part of it is addressed here. Reported accuracy therefore describes only the classification stage of a hypothetical pipeline.</w:t>
      </w:r>
    </w:p>
    <w:p>
      <w:pPr>
        <w:pStyle w:val="Heading2"/>
        <w:spacing w:after="150" w:before="300"/>
      </w:pPr>
      <w:r>
        <w:t xml:space="preserve">9.3 Dev Split Is Not Track-Disjoint</w:t>
      </w:r>
    </w:p>
    <w:p>
      <w:pPr>
        <w:spacing w:after="160" w:before="0" w:line="300"/>
      </w:pPr>
      <w:r>
        <w:t xml:space="preserve">As noted in Section 3.2, GTSRB contributes 30 consecutive frames per physical sign. The random 90/10 dev split places frames of the same physical sign on both sides, so dev accuracy is optimistically biased — the model has seen near-duplicates of its validation images. This affects early stopping, which may halt later than a clean split would justify. The official test partition is track-disjoint and unaffected, so reported test figures remain sound. A track-aware split is the correct fix and is listed in Section 10.2.</w:t>
      </w:r>
    </w:p>
    <w:p>
      <w:pPr>
        <w:pStyle w:val="Heading2"/>
        <w:spacing w:after="150" w:before="300"/>
      </w:pPr>
      <w:r>
        <w:t xml:space="preserve">9.4 Class Imbalance Is Uncorrected</w:t>
      </w:r>
    </w:p>
    <w:p>
      <w:pPr>
        <w:spacing w:after="160" w:before="0" w:line="300"/>
      </w:pPr>
      <w:r>
        <w:t xml:space="preserve">No class weighting, oversampling or loss reweighting is applied. The 10.7:1 imbalance is passed through to training as-is. This is why macro-F1 rather than accuracy is the headline metric — the metric reveals the problem rather than solving it.</w:t>
      </w:r>
    </w:p>
    <w:p>
      <w:pPr>
        <w:pStyle w:val="Heading2"/>
        <w:spacing w:after="150" w:before="300"/>
      </w:pPr>
      <w:r>
        <w:t xml:space="preserve">9.5 Single-Seed Results if Not Repeated</w:t>
      </w:r>
    </w:p>
    <w:p>
      <w:pPr>
        <w:spacing w:after="160" w:before="0" w:line="300"/>
      </w:pPr>
      <w:r>
        <w:t xml:space="preserve">Differences of a percentage point or so between configurations are not reliably distinguishable from initialization noise. The protocol calls for ≥3 seeds with mean and standard deviation; conclusions drawn from single runs should be treated as provisional.</w:t>
      </w:r>
    </w:p>
    <w:p>
      <w:pPr>
        <w:pStyle w:val="Heading2"/>
        <w:spacing w:after="150" w:before="300"/>
      </w:pPr>
      <w:r>
        <w:t xml:space="preserve">9.6 Fixed Preprocessing Is Not Ablated</w:t>
      </w:r>
    </w:p>
    <w:p>
      <w:pPr>
        <w:spacing w:after="160" w:before="0" w:line="300"/>
      </w:pPr>
      <w:r>
        <w:t xml:space="preserve">The five preprocessing steps are held constant across all experiments and justified by argument rather than measurement. The contribution of histogram equalization in particular — argued in Section 4.2 to be the highest-value step — is untested. An ablation over preprocessing would strengthen this.</w:t>
      </w:r>
    </w:p>
    <w:p>
      <w:pPr>
        <w:pStyle w:val="Heading2"/>
        <w:spacing w:after="150" w:before="300"/>
      </w:pPr>
      <w:r>
        <w:t xml:space="preserve">9.7 Occlusion and Physical Degradation Unaddressed</w:t>
      </w:r>
    </w:p>
    <w:p>
      <w:pPr>
        <w:spacing w:after="160" w:before="0" w:line="300"/>
      </w:pPr>
      <w:r>
        <w:t xml:space="preserve">Neither the preprocessing nor the augmentation models partial occlusion, fading, or vandalism, all of which occur in the test set. No augmentation transformation simulates them, and performance on affected images is uncharacterised.</w:t>
      </w:r>
    </w:p>
    <w:p>
      <w:pPr>
        <w:pStyle w:val="Heading2"/>
        <w:spacing w:after="150" w:before="300"/>
      </w:pPr>
      <w:r>
        <w:t xml:space="preserve">9.8 No Inference Latency Measurement</w:t>
      </w:r>
    </w:p>
    <w:p>
      <w:pPr>
        <w:spacing w:after="160" w:before="0" w:line="300"/>
      </w:pPr>
      <w:r>
        <w:t xml:space="preserve">Training cost is measured (Section 5.1); inference latency, the operationally relevant figure for a real-time system, is not. A forward pass through 667k parameters is inexpensive, but “inexpensive” is not a measurement.</w:t>
      </w:r>
    </w:p>
    <w:p>
      <w:r>
        <w:br w:type="page"/>
      </w:r>
    </w:p>
    <w:p>
      <w:pPr>
        <w:pStyle w:val="Heading1"/>
        <w:spacing w:after="200" w:before="400"/>
      </w:pPr>
      <w:r>
        <w:t xml:space="preserve">10. Conclusion and Future Work</w:t>
      </w:r>
    </w:p>
    <w:p>
      <w:pPr>
        <w:pStyle w:val="Heading2"/>
        <w:spacing w:after="150" w:before="300"/>
      </w:pPr>
      <w:r>
        <w:t xml:space="preserve">10.1 Conclusion (to Be Completed Against Results)</w:t>
      </w:r>
    </w:p>
    <w:p>
      <w:pPr>
        <w:spacing w:after="160" w:before="0" w:line="300"/>
      </w:pPr>
      <w:r>
        <w:t xml:space="preserve">This report presented a traffic sign classifier for GTSRB built on a feed-forward neural network implemented entirely from first principles in NumPy. Forward propagation, backpropagation, Adam, inverted dropout, L2 regularization, He initialization and early stopping were each derived and implemented directly, with no machine learning framework.</w:t>
      </w:r>
    </w:p>
    <w:p>
      <w:pPr>
        <w:spacing w:after="160" w:before="0" w:line="300"/>
      </w:pPr>
      <w:r>
        <w:t xml:space="preserve">The methodological contributions stand independently of the training results. A preprocessing pipeline was designed with each stage justified against a specific property of the data. Augmentation transformations inherited from the digit domain were re-examined and found partly invalid, with horizontal mirroring identified as label-corrupting for eight directional sign classes. Three defects in the antecedent codebase were found and corrected, two of them silent. A controlled protocol of six ablations was specified, and the resource profile of the training procedure was measured.</w:t>
      </w:r>
    </w:p>
    <w:p>
      <w:pPr>
        <w:spacing w:after="160" w:before="0" w:line="300"/>
      </w:pPr>
      <w:r>
        <w:rPr>
          <w:i/>
          <w:iCs/>
          <w:color w:val="555555"/>
        </w:rPr>
        <w:t xml:space="preserve">[Complete with: </w:t>
      </w:r>
      <w:r>
        <w:rPr>
          <w:i/>
          <w:iCs/>
          <w:color w:val="555555"/>
        </w:rPr>
        <w:t xml:space="preserve">the achieved macro-F1 and how it compares to the reference points in Section 2.1; which ablations produced significant effects; whether the observed error structure matched the architectural prediction of Section 8.4.]</w:t>
      </w:r>
    </w:p>
    <w:p>
      <w:pPr>
        <w:pStyle w:val="Heading2"/>
        <w:spacing w:after="150" w:before="300"/>
      </w:pPr>
      <w:r>
        <w:t xml:space="preserve">10.2 Future Work</w:t>
      </w:r>
    </w:p>
    <w:p>
      <w:pPr>
        <w:pStyle w:val="Heading3"/>
        <w:spacing w:after="120" w:before="240"/>
      </w:pPr>
      <w:r>
        <w:t xml:space="preserve">Immediate, within this architecture</w:t>
      </w:r>
    </w:p>
    <w:p>
      <w:pPr>
        <w:pStyle w:val="ListParagraph"/>
        <w:numPr>
          <w:ilvl w:val="0"/>
          <w:numId w:val="1"/>
        </w:numPr>
        <w:spacing w:after="100"/>
      </w:pPr>
      <w:r>
        <w:t xml:space="preserve">Track-aware dev split, removing the bias identified in Section 9.3.</w:t>
      </w:r>
    </w:p>
    <w:p>
      <w:pPr>
        <w:pStyle w:val="ListParagraph"/>
        <w:numPr>
          <w:ilvl w:val="0"/>
          <w:numId w:val="1"/>
        </w:numPr>
        <w:spacing w:after="100"/>
      </w:pPr>
      <w:r>
        <w:t xml:space="preserve">Class-imbalance correction — weighted loss or targeted oversampling of the rare classes — with macro-F1 as the measure of success.</w:t>
      </w:r>
    </w:p>
    <w:p>
      <w:pPr>
        <w:pStyle w:val="ListParagraph"/>
        <w:numPr>
          <w:ilvl w:val="0"/>
          <w:numId w:val="1"/>
        </w:numPr>
        <w:spacing w:after="100"/>
      </w:pPr>
      <w:r>
        <w:t xml:space="preserve">Preprocessing ablation, in particular quantifying histogram equalization.</w:t>
      </w:r>
    </w:p>
    <w:p>
      <w:pPr>
        <w:pStyle w:val="ListParagraph"/>
        <w:numPr>
          <w:ilvl w:val="0"/>
          <w:numId w:val="1"/>
        </w:numPr>
        <w:spacing w:after="100"/>
      </w:pPr>
      <w:r>
        <w:t xml:space="preserve">Colour input: retain RGB at 3,072 features and measure whether the accuracy gain justifies tripling the first layer.</w:t>
      </w:r>
    </w:p>
    <w:p>
      <w:pPr>
        <w:pStyle w:val="ListParagraph"/>
        <w:numPr>
          <w:ilvl w:val="0"/>
          <w:numId w:val="1"/>
        </w:numPr>
        <w:spacing w:after="100"/>
      </w:pPr>
      <w:r>
        <w:t xml:space="preserve">Inference latency benchmark (Section 9.8).</w:t>
      </w:r>
    </w:p>
    <w:p>
      <w:pPr>
        <w:pStyle w:val="Heading3"/>
        <w:spacing w:after="120" w:before="240"/>
      </w:pPr>
      <w:r>
        <w:t xml:space="preserve">Architectural</w:t>
      </w:r>
    </w:p>
    <w:p>
      <w:pPr>
        <w:pStyle w:val="ListParagraph"/>
        <w:numPr>
          <w:ilvl w:val="0"/>
          <w:numId w:val="1"/>
        </w:numPr>
        <w:spacing w:after="100"/>
      </w:pPr>
      <w:r>
        <w:t xml:space="preserve">Convolutional layers. The principled fix for both deficits in Section 8.4. src/dataset.py feeds a CNN unchanged — omit flatten_input. This is the single highest-value change available.</w:t>
      </w:r>
    </w:p>
    <w:p>
      <w:pPr>
        <w:pStyle w:val="ListParagraph"/>
        <w:numPr>
          <w:ilvl w:val="0"/>
          <w:numId w:val="1"/>
        </w:numPr>
        <w:spacing w:after="100"/>
      </w:pPr>
      <w:r>
        <w:t xml:space="preserve">Batch normalisation, to stabilise training in deeper configurations.</w:t>
      </w:r>
    </w:p>
    <w:p>
      <w:pPr>
        <w:pStyle w:val="ListParagraph"/>
        <w:numPr>
          <w:ilvl w:val="0"/>
          <w:numId w:val="1"/>
        </w:numPr>
        <w:spacing w:after="100"/>
      </w:pPr>
      <w:r>
        <w:t xml:space="preserve">Ensembling, following the approach that won the original benchmark [2].</w:t>
      </w:r>
    </w:p>
    <w:p>
      <w:pPr>
        <w:pStyle w:val="Heading3"/>
        <w:spacing w:after="120" w:before="240"/>
      </w:pPr>
      <w:r>
        <w:t xml:space="preserve">Beyond classification</w:t>
      </w:r>
    </w:p>
    <w:p>
      <w:pPr>
        <w:pStyle w:val="ListParagraph"/>
        <w:numPr>
          <w:ilvl w:val="0"/>
          <w:numId w:val="1"/>
        </w:numPr>
        <w:spacing w:after="100"/>
      </w:pPr>
      <w:r>
        <w:t xml:space="preserve">Detection, converting recognition into a system usable on street scenes.</w:t>
      </w:r>
    </w:p>
    <w:p>
      <w:pPr>
        <w:pStyle w:val="ListParagraph"/>
        <w:numPr>
          <w:ilvl w:val="0"/>
          <w:numId w:val="1"/>
        </w:numPr>
        <w:spacing w:after="100"/>
      </w:pPr>
      <w:r>
        <w:t xml:space="preserve">Temporal aggregation over the 30-frame tracks, since a deployed system sees a sequence and can accumulate evidence rather than deciding per frame.</w:t>
      </w:r>
    </w:p>
    <w:p>
      <w:r>
        <w:br w:type="page"/>
      </w:r>
    </w:p>
    <w:p>
      <w:pPr>
        <w:pStyle w:val="Heading1"/>
        <w:spacing w:after="200" w:before="400"/>
      </w:pPr>
      <w:r>
        <w:t xml:space="preserve">References</w:t>
      </w:r>
    </w:p>
    <w:p>
      <w:pPr>
        <w:spacing w:after="160" w:before="0" w:line="300"/>
      </w:pPr>
      <w:r>
        <w:t xml:space="preserve">[1] J. Stallkamp, M. Schlipsing, J. Salmen, and C. Igel, “Man vs. computer: Benchmarking machine learning algorithms for traffic sign recognition,” Neural Networks, vol. 32, pp. 323–332, 2012.</w:t>
      </w:r>
    </w:p>
    <w:p>
      <w:pPr>
        <w:spacing w:after="160" w:before="0" w:line="300"/>
      </w:pPr>
      <w:r>
        <w:t xml:space="preserve">[2] D. Cireşan, U. Meier, J. Masci, and J. Schmidhuber, “Multi-column deep neural network for traffic sign classification,” Neural Networks, vol. 32, pp. 333–338, 2012.</w:t>
      </w:r>
    </w:p>
    <w:p>
      <w:pPr>
        <w:spacing w:after="160" w:before="0" w:line="300"/>
      </w:pPr>
      <w:r>
        <w:t xml:space="preserve">[3] P. Sermanet and Y. LeCun, “Traffic sign recognition with multi-scale convolutional networks,” in Proc. IJCNN, 2011, pp. 2809–2813.</w:t>
      </w:r>
    </w:p>
    <w:p>
      <w:pPr>
        <w:spacing w:after="160" w:before="0" w:line="300"/>
      </w:pPr>
      <w:r>
        <w:t xml:space="preserve">[4] N. Dalal and B. Triggs, “Histograms of oriented gradients for human detection,” in Proc. CVPR, 2005, pp. 886–893.</w:t>
      </w:r>
    </w:p>
    <w:p>
      <w:pPr>
        <w:spacing w:after="160" w:before="0" w:line="300"/>
      </w:pPr>
      <w:r>
        <w:t xml:space="preserve">[5] K. Hornik, M. Stinchcombe, and H. White, “Multilayer feedforward networks are universal approximators,” Neural Networks, vol. 2, no. 5, pp. 359–366, 1989.</w:t>
      </w:r>
    </w:p>
    <w:p>
      <w:pPr>
        <w:spacing w:after="160" w:before="0" w:line="300"/>
      </w:pPr>
      <w:r>
        <w:t xml:space="preserve">[6] Y. LeCun, L. Bottou, Y. Bengio, and P. Haffner, “Gradient-based learning applied to document recognition,” Proc. IEEE, vol. 86, no. 11, pp. 2278–2324, 1998.</w:t>
      </w:r>
    </w:p>
    <w:p>
      <w:pPr>
        <w:spacing w:after="160" w:before="0" w:line="300"/>
      </w:pPr>
      <w:r>
        <w:t xml:space="preserve">[7] K. He, X. Zhang, S. Ren, and J. Sun, “Delving deep into rectifiers: Surpassing human-level performance on ImageNet classification,” in Proc. ICCV, 2015, pp. 1026–1034.</w:t>
      </w:r>
    </w:p>
    <w:p>
      <w:pPr>
        <w:spacing w:after="160" w:before="0" w:line="300"/>
      </w:pPr>
      <w:r>
        <w:t xml:space="preserve">[8] D. P. Kingma and J. Ba, “Adam: A method for stochastic optimization,” in Proc. ICLR, 2015.</w:t>
      </w:r>
    </w:p>
    <w:p>
      <w:pPr>
        <w:spacing w:after="160" w:before="0" w:line="300"/>
      </w:pPr>
      <w:r>
        <w:t xml:space="preserve">[9] N. Srivastava, G. Hinton, A. Krizhevsky, I. Sutskever, and R. Salakhutdinov, “Dropout: A simple way to prevent neural networks from overfitting,” JMLR, vol. 15, no. 1, pp. 1929–1958, 2014.</w:t>
      </w:r>
    </w:p>
    <w:p>
      <w:pPr>
        <w:spacing w:after="160" w:before="0" w:line="300"/>
      </w:pPr>
      <w:r>
        <w:t xml:space="preserve">[10] I. Goodfellow, Y. Bengio, and A. Courville, Deep Learning. MIT Press, 2016.</w:t>
      </w:r>
    </w:p>
    <w:p>
      <w:pPr>
        <w:spacing w:after="120"/>
      </w:pPr>
    </w:p>
    <w:p>
      <w:pPr>
        <w:spacing w:after="160" w:before="0" w:line="300"/>
      </w:pPr>
      <w:r>
        <w:rPr>
          <w:b/>
          <w:bCs/>
        </w:rPr>
        <w:t xml:space="preserve">Dataset citation. </w:t>
      </w:r>
      <w:r>
        <w:t xml:space="preserve">J. Stallkamp, M. Schlipsing, J. Salmen, and C. Igel, “The German Traffic Sign Recognition Benchmark: A multi-class classification competition,” in Proc. IJCNN, 2011, pp. 1453–1460. Available: https://benchmark.ini.rub.de/gtsrb_dataset.html. Licensed CC BY 4.0.</w:t>
      </w:r>
    </w:p>
    <w:p>
      <w:r>
        <w:br w:type="page"/>
      </w:r>
    </w:p>
    <w:p>
      <w:pPr>
        <w:pStyle w:val="Heading1"/>
        <w:spacing w:after="200" w:before="400"/>
      </w:pPr>
      <w:r>
        <w:t xml:space="preserve">Appendix A — Reproducibility</w:t>
      </w:r>
    </w:p>
    <w:p>
      <w:pPr>
        <w:spacing w:after="160" w:before="0" w:line="300"/>
      </w:pPr>
      <w:r>
        <w:rPr>
          <w:b/>
          <w:bCs/>
        </w:rPr>
        <w:t xml:space="preserve">Environment. </w:t>
      </w:r>
      <w:r>
        <w:t xml:space="preserve">Dockerfile and docker-compose.yml pin the complete environment. See SETUP.md for both the container and native paths.</w:t>
      </w:r>
    </w:p>
    <w:p>
      <w:pPr>
        <w:pStyle w:val="Heading3"/>
        <w:spacing w:after="120" w:before="240"/>
      </w:pPr>
      <w:r>
        <w:t xml:space="preserve">Reproducing the baseline from a clean checkout</w:t>
      </w:r>
    </w:p>
    <w:p>
      <w:pPr>
        <w:spacing w:after="160" w:before="0" w:line="300"/>
      </w:pPr>
      <w:r>
        <w:rPr>
          <w:i/>
          <w:iCs/>
        </w:rPr>
        <w:t xml:space="preserve">docker build -t traffic-sign-detection .</w:t>
      </w:r>
    </w:p>
    <w:p>
      <w:pPr>
        <w:spacing w:after="160" w:before="0" w:line="300"/>
      </w:pPr>
      <w:r>
        <w:rPr>
          <w:i/>
          <w:iCs/>
        </w:rPr>
        <w:t xml:space="preserve">docker compose run --rm tsd python train.py --epochs 40 --out models/e0_baseline</w:t>
      </w:r>
    </w:p>
    <w:p>
      <w:pPr>
        <w:spacing w:after="160" w:before="0" w:line="300"/>
      </w:pPr>
      <w:r>
        <w:rPr>
          <w:i/>
          <w:iCs/>
        </w:rPr>
        <w:t xml:space="preserve">docker compose run --rm tsd python evaluate.py --model models/e0_baseline --no-plot</w:t>
      </w:r>
    </w:p>
    <w:p>
      <w:pPr>
        <w:spacing w:after="160" w:before="0" w:line="300"/>
      </w:pPr>
      <w:r>
        <w:rPr>
          <w:b/>
          <w:bCs/>
        </w:rPr>
        <w:t xml:space="preserve">Seeding. </w:t>
      </w:r>
      <w:r>
        <w:t xml:space="preserve">np.random.seed(1) at entry to every script; --seed overrides. Given identical data and flags, runs reproduce.</w:t>
      </w:r>
    </w:p>
    <w:p>
      <w:pPr>
        <w:spacing w:after="160" w:before="0" w:line="300"/>
      </w:pPr>
      <w:r>
        <w:rPr>
          <w:b/>
          <w:bCs/>
        </w:rPr>
        <w:t xml:space="preserve">Data provenance. </w:t>
      </w:r>
      <w:r>
        <w:t xml:space="preserve">GTSRB is downloaded from the URLs in GTSRB_URLS (src/dataset.py), which are the archives linked from the official benchmark page. Decoded arrays are cached as dataset/gtsrb/gtsrb_32.npz.</w:t>
      </w:r>
    </w:p>
    <w:p>
      <w:pPr>
        <w:pStyle w:val="Heading3"/>
        <w:spacing w:after="120" w:before="240"/>
      </w:pPr>
      <w:r>
        <w:t xml:space="preserve">Code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File</w:t>
            </w:r>
          </w:p>
        </w:tc>
        <w:tc>
          <w:tcPr>
            <w:tcW w:type="dxa" w:w="55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Role</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src/dataset.py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Acquisition, decoding, preprocessing, splitting, encoding</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src/ffnn.py</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Network: initialization, forward, cost, backward, optimizers, training, prediction</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src/model_utils.py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Activations, mini-batching, metrics, confusion matrix, plots, persistence</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src/data_augmentation.py</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Augmentation transformations and generator</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train.py / evaluate.py / predict.py / augment.py / gui.py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Entry points</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Project_Walkthrough.ipynb</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Step-by-step executable walkthrough</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README.md / SETUP.md</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Overview and setup guide</w:t>
            </w:r>
          </w:p>
        </w:tc>
      </w:tr>
    </w:tbl>
    <w:p>
      <w:r>
        <w:br w:type="page"/>
      </w:r>
    </w:p>
    <w:p>
      <w:pPr>
        <w:pStyle w:val="Heading1"/>
        <w:spacing w:after="200" w:before="400"/>
      </w:pPr>
      <w:r>
        <w:t xml:space="preserve">Appendix B — Class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700"/>
        <w:gridCol w:w="3660"/>
      </w:tblGrid>
      <w:tr>
        <w:trPr>
          <w:tblHeader/>
        </w:trPr>
        <w:tc>
          <w:tcPr>
            <w:tcW w:type="dxa" w:w="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20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Bumpy road</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30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Slippery road</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50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Road narrows on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60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Road work</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70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Traffic signals</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80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Pedestrians</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speed limit 80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Children crossing</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100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Bicycles crossing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120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passing</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Wild animals crossing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passing &gt;3.5t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all limits</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Right-of-way at intersection</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Turn right ahead</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Priority road</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Turn left ahead</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Yield</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Ahead only</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Stop</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Go straight or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vehicles</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Go straight or left</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vehicles &gt;3.5t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Keep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entry</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Keep left</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General caution</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Roundabout mandatory</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left</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of no passing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Dangerous curve right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Double curve</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160" w:before="0" w:line="300"/>
      </w:pPr>
      <w:r>
        <w:t xml:space="preserve">The eight directional classes affected by the mirroring analysis in Section 4.9 are 19, 20, 33, 34, 36, 37, 38 and 39.</w:t>
      </w:r>
    </w:p>
    <w:p>
      <w:r>
        <w:br w:type="page"/>
      </w:r>
    </w:p>
    <w:p>
      <w:pPr>
        <w:pStyle w:val="Heading1"/>
        <w:spacing w:after="200" w:before="400"/>
      </w:pPr>
      <w:r>
        <w:t xml:space="preserve">Appendix C —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Symbol</w:t>
            </w:r>
          </w:p>
        </w:tc>
        <w:tc>
          <w:tcPr>
            <w:tcW w:type="dxa" w:w="69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Meaning</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Number of examples in the current batch</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Number of layers (hidden + output)</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Units in layer l; n⁽⁰⁾ = 1024, n⁽ᴸ⁾ = 43</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X</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Input matrix, (1024 × m)</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Y</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One-hot labels, (43 × m)</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Ŷ</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Predicted probabilities, (43 × m)</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W⁽ˡ⁾, b⁽ˡ⁾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Weights and biases of layer l</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Z⁽ˡ⁾, A⁽ˡ⁾</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Pre-activation and activation of layer l</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mask for layer l</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α, λ, p</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 L2 strength, dropout keep probability</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β₁, β₂, ε</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hyperparameters</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v_t, s_t</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Adam first and second moment estimates at step t</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J</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Cost</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Element-wise (Hadamard) product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Traffic Sign Recognition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pPr>
    <w:rPr>
      <w:rFonts w:ascii="Calibri" w:cs="Calibri" w:eastAsia="Calibri" w:hAnsi="Calibri"/>
      <w:b/>
      <w:bCs/>
      <w:color w:val="1F3864"/>
      <w:sz w:val="30"/>
      <w:szCs w:val="30"/>
    </w:rPr>
  </w:style>
  <w:style w:type="paragraph" w:styleId="Heading2">
    <w:name w:val="Heading 2"/>
    <w:basedOn w:val="Normal"/>
    <w:next w:val="Normal"/>
    <w:qFormat/>
    <w:pPr>
      <w:keepNext/>
      <w:spacing w:after="150" w:before="300"/>
    </w:pPr>
    <w:rPr>
      <w:rFonts w:ascii="Calibri" w:cs="Calibri" w:eastAsia="Calibri" w:hAnsi="Calibri"/>
      <w:b/>
      <w:bCs/>
      <w:color w:val="2E5395"/>
      <w:sz w:val="26"/>
      <w:szCs w:val="26"/>
    </w:rPr>
  </w:style>
  <w:style w:type="paragraph" w:styleId="Heading3">
    <w:name w:val="Heading 3"/>
    <w:basedOn w:val="Normal"/>
    <w:next w:val="Normal"/>
    <w:qFormat/>
    <w:pPr>
      <w:keepNext/>
      <w:spacing w:after="120" w:before="240"/>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Recognition Using a From-Scratch Feed-Forward Neural Network</dc:title>
  <dc:creator>Bibek Ghimire</dc:creator>
  <cp:lastModifiedBy>Un-named</cp:lastModifiedBy>
  <cp:revision>1</cp:revision>
  <dcterms:created xsi:type="dcterms:W3CDTF">2026-09-19T04:45:00.018Z</dcterms:created>
  <dcterms:modified xsi:type="dcterms:W3CDTF">2026-09-19T04:45:00.018Z</dcterms:modified>
</cp:coreProperties>
</file>

<file path=docProps/custom.xml><?xml version="1.0" encoding="utf-8"?>
<Properties xmlns="http://schemas.openxmlformats.org/officeDocument/2006/custom-properties" xmlns:vt="http://schemas.openxmlformats.org/officeDocument/2006/docPropsVTypes"/>
</file>