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D23"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Experience Summary</w:t>
      </w:r>
    </w:p>
    <w:p w:rsidR="00CD79FB" w:rsidRDefault="00767252" w:rsidP="00CD79FB">
      <w:pPr>
        <w:pStyle w:val="Header"/>
        <w:numPr>
          <w:ilvl w:val="0"/>
          <w:numId w:val="1"/>
        </w:numPr>
        <w:suppressAutoHyphens/>
        <w:spacing w:before="40" w:after="40"/>
        <w:ind w:right="63"/>
        <w:rPr>
          <w:sz w:val="20"/>
        </w:rPr>
      </w:pPr>
      <w:r>
        <w:rPr>
          <w:sz w:val="20"/>
        </w:rPr>
        <w:t>4</w:t>
      </w:r>
      <w:r w:rsidR="00CD79FB">
        <w:rPr>
          <w:sz w:val="20"/>
        </w:rPr>
        <w:t>.</w:t>
      </w:r>
      <w:r w:rsidR="005040D9">
        <w:rPr>
          <w:sz w:val="20"/>
        </w:rPr>
        <w:t>9</w:t>
      </w:r>
      <w:r w:rsidR="00CD79FB" w:rsidRPr="0065359F">
        <w:rPr>
          <w:sz w:val="20"/>
        </w:rPr>
        <w:t xml:space="preserve"> years of working experience in Information Technology industry</w:t>
      </w:r>
      <w:r w:rsidR="00CD79FB">
        <w:rPr>
          <w:sz w:val="20"/>
        </w:rPr>
        <w:t xml:space="preserve"> since August 2013</w:t>
      </w:r>
      <w:r w:rsidR="00CD79FB" w:rsidRPr="0065359F">
        <w:rPr>
          <w:sz w:val="20"/>
        </w:rPr>
        <w:t>.</w:t>
      </w:r>
    </w:p>
    <w:p w:rsidR="00CD79FB" w:rsidRDefault="00CD79FB" w:rsidP="00CD79FB">
      <w:pPr>
        <w:pStyle w:val="Header"/>
        <w:numPr>
          <w:ilvl w:val="0"/>
          <w:numId w:val="1"/>
        </w:numPr>
        <w:suppressAutoHyphens/>
        <w:spacing w:before="40" w:after="40"/>
        <w:ind w:right="63"/>
        <w:rPr>
          <w:sz w:val="20"/>
        </w:rPr>
      </w:pPr>
      <w:r>
        <w:rPr>
          <w:sz w:val="20"/>
        </w:rPr>
        <w:t>Working in Requirement Analysis, Design, Development and Maintenance, as part of assignment.</w:t>
      </w:r>
    </w:p>
    <w:p w:rsidR="00CD79FB" w:rsidRDefault="00CD79FB" w:rsidP="00CD79FB">
      <w:pPr>
        <w:pStyle w:val="Header"/>
        <w:numPr>
          <w:ilvl w:val="0"/>
          <w:numId w:val="1"/>
        </w:numPr>
        <w:suppressAutoHyphens/>
        <w:spacing w:before="40" w:after="40"/>
        <w:ind w:right="63"/>
        <w:rPr>
          <w:sz w:val="20"/>
        </w:rPr>
      </w:pPr>
      <w:r>
        <w:rPr>
          <w:sz w:val="20"/>
        </w:rPr>
        <w:t>Primarily worked in Enterprise Application Integration (EAI) domain.</w:t>
      </w:r>
    </w:p>
    <w:p w:rsidR="00CD79FB" w:rsidRPr="0065359F" w:rsidRDefault="00CD79FB" w:rsidP="00CD79FB">
      <w:pPr>
        <w:pStyle w:val="Header"/>
        <w:numPr>
          <w:ilvl w:val="0"/>
          <w:numId w:val="1"/>
        </w:numPr>
        <w:suppressAutoHyphens/>
        <w:spacing w:before="40" w:after="40"/>
        <w:ind w:right="63"/>
        <w:rPr>
          <w:sz w:val="20"/>
        </w:rPr>
      </w:pPr>
      <w:r>
        <w:rPr>
          <w:sz w:val="20"/>
        </w:rPr>
        <w:t>Have expertise in IBM WebSphere Message Broker, IBM Integration Bus and IBM WebSphere MQ.</w:t>
      </w:r>
    </w:p>
    <w:p w:rsidR="000E510C" w:rsidRDefault="00CD79FB" w:rsidP="007130C6">
      <w:pPr>
        <w:pStyle w:val="kpmgbody"/>
        <w:numPr>
          <w:ilvl w:val="0"/>
          <w:numId w:val="1"/>
        </w:numPr>
        <w:spacing w:before="20" w:after="20"/>
        <w:jc w:val="left"/>
        <w:rPr>
          <w:rFonts w:ascii="Arial" w:hAnsi="Arial" w:cs="Arial"/>
          <w:b w:val="0"/>
          <w:bCs w:val="0"/>
          <w:sz w:val="20"/>
        </w:rPr>
      </w:pPr>
      <w:r w:rsidRPr="00CD79FB">
        <w:rPr>
          <w:rFonts w:ascii="Arial" w:hAnsi="Arial" w:cs="Arial"/>
          <w:b w:val="0"/>
          <w:bCs w:val="0"/>
          <w:sz w:val="20"/>
        </w:rPr>
        <w:t>Have good communication skills, interpersonal skills, self-motivated, quick learner and team player</w:t>
      </w:r>
      <w:r>
        <w:rPr>
          <w:rFonts w:ascii="Arial" w:hAnsi="Arial" w:cs="Arial"/>
          <w:b w:val="0"/>
          <w:bCs w:val="0"/>
          <w:sz w:val="20"/>
        </w:rPr>
        <w:t>.</w:t>
      </w:r>
    </w:p>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Academic Qualifications</w:t>
      </w:r>
    </w:p>
    <w:tbl>
      <w:tblPr>
        <w:tblStyle w:val="TableGrid3"/>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070"/>
        <w:gridCol w:w="3780"/>
        <w:gridCol w:w="1890"/>
        <w:gridCol w:w="810"/>
        <w:gridCol w:w="1080"/>
      </w:tblGrid>
      <w:tr w:rsidR="00CD79FB" w:rsidRPr="00CD79FB" w:rsidTr="00C82E14">
        <w:trPr>
          <w:trHeight w:val="307"/>
        </w:trPr>
        <w:tc>
          <w:tcPr>
            <w:tcW w:w="207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Degree</w:t>
            </w:r>
          </w:p>
        </w:tc>
        <w:tc>
          <w:tcPr>
            <w:tcW w:w="37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Institute</w:t>
            </w:r>
          </w:p>
        </w:tc>
        <w:tc>
          <w:tcPr>
            <w:tcW w:w="189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Board/University</w:t>
            </w:r>
          </w:p>
        </w:tc>
        <w:tc>
          <w:tcPr>
            <w:tcW w:w="81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Year</w:t>
            </w:r>
          </w:p>
        </w:tc>
        <w:tc>
          <w:tcPr>
            <w:tcW w:w="10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Marks</w:t>
            </w:r>
          </w:p>
        </w:tc>
      </w:tr>
      <w:tr w:rsidR="00C82E14" w:rsidRPr="00CD79FB" w:rsidTr="00C82E14">
        <w:trPr>
          <w:trHeight w:val="322"/>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B. Tech (I.T)</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Govt. Engineering College</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W.B.U.T</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2013</w:t>
            </w:r>
          </w:p>
        </w:tc>
        <w:tc>
          <w:tcPr>
            <w:tcW w:w="1080" w:type="dxa"/>
            <w:vAlign w:val="center"/>
          </w:tcPr>
          <w:p w:rsidR="00CD79FB" w:rsidRPr="00CD79FB" w:rsidRDefault="007A5BAD" w:rsidP="00C82E14">
            <w:pPr>
              <w:tabs>
                <w:tab w:val="center" w:pos="4320"/>
                <w:tab w:val="right" w:pos="8640"/>
              </w:tabs>
              <w:suppressAutoHyphens/>
              <w:spacing w:before="40" w:after="40"/>
              <w:ind w:right="63"/>
              <w:rPr>
                <w:rFonts w:ascii="Arial" w:hAnsi="Arial" w:cs="Arial"/>
                <w:lang w:eastAsia="ar-SA"/>
              </w:rPr>
            </w:pPr>
            <w:hyperlink r:id="rId8" w:history="1">
              <w:r w:rsidR="00CD79FB" w:rsidRPr="00042CC3">
                <w:rPr>
                  <w:rStyle w:val="Hyperlink"/>
                  <w:rFonts w:ascii="Arial" w:hAnsi="Arial" w:cs="Arial"/>
                  <w:lang w:eastAsia="ar-SA"/>
                </w:rPr>
                <w:t>8.39/10</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Higher 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W.B.C.H.S.E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2009</w:t>
            </w:r>
          </w:p>
        </w:tc>
        <w:tc>
          <w:tcPr>
            <w:tcW w:w="1080" w:type="dxa"/>
            <w:vAlign w:val="center"/>
          </w:tcPr>
          <w:p w:rsidR="00CD79FB" w:rsidRPr="00CD79FB" w:rsidRDefault="007A5BAD" w:rsidP="00C82E14">
            <w:pPr>
              <w:tabs>
                <w:tab w:val="center" w:pos="4320"/>
                <w:tab w:val="right" w:pos="8640"/>
              </w:tabs>
              <w:suppressAutoHyphens/>
              <w:spacing w:before="40" w:after="40"/>
              <w:ind w:right="63"/>
              <w:rPr>
                <w:rFonts w:ascii="Arial" w:hAnsi="Arial" w:cs="Arial"/>
                <w:lang w:eastAsia="ar-SA"/>
              </w:rPr>
            </w:pPr>
            <w:hyperlink r:id="rId9" w:history="1">
              <w:r w:rsidR="00CD79FB" w:rsidRPr="00042CC3">
                <w:rPr>
                  <w:rStyle w:val="Hyperlink"/>
                  <w:rFonts w:ascii="Arial" w:hAnsi="Arial" w:cs="Arial"/>
                  <w:lang w:eastAsia="ar-SA"/>
                </w:rPr>
                <w:t>86%</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W.B.B.S.E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2007</w:t>
            </w:r>
          </w:p>
        </w:tc>
        <w:tc>
          <w:tcPr>
            <w:tcW w:w="1080" w:type="dxa"/>
            <w:vAlign w:val="center"/>
          </w:tcPr>
          <w:p w:rsidR="00CD79FB" w:rsidRPr="00CD79FB" w:rsidRDefault="007A5BAD" w:rsidP="00C82E14">
            <w:pPr>
              <w:tabs>
                <w:tab w:val="center" w:pos="4320"/>
                <w:tab w:val="right" w:pos="8640"/>
              </w:tabs>
              <w:suppressAutoHyphens/>
              <w:spacing w:before="40" w:after="40"/>
              <w:ind w:right="63"/>
              <w:rPr>
                <w:rFonts w:ascii="Arial" w:hAnsi="Arial" w:cs="Arial"/>
                <w:lang w:eastAsia="ar-SA"/>
              </w:rPr>
            </w:pPr>
            <w:hyperlink r:id="rId10" w:history="1">
              <w:r w:rsidR="00CD79FB" w:rsidRPr="00042CC3">
                <w:rPr>
                  <w:rStyle w:val="Hyperlink"/>
                  <w:rFonts w:ascii="Arial" w:hAnsi="Arial" w:cs="Arial"/>
                  <w:lang w:eastAsia="ar-SA"/>
                </w:rPr>
                <w:t>89.125%</w:t>
              </w:r>
            </w:hyperlink>
          </w:p>
        </w:tc>
      </w:tr>
    </w:tbl>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Technical Skills</w:t>
      </w:r>
    </w:p>
    <w:tbl>
      <w:tblPr>
        <w:tblStyle w:val="TableGrid"/>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970"/>
        <w:gridCol w:w="7038"/>
      </w:tblGrid>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Programming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Java, ESQL</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Scripting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EB2311">
            <w:pPr>
              <w:pStyle w:val="Header"/>
              <w:ind w:right="63"/>
              <w:jc w:val="left"/>
              <w:rPr>
                <w:sz w:val="20"/>
              </w:rPr>
            </w:pPr>
            <w:r>
              <w:rPr>
                <w:sz w:val="20"/>
              </w:rPr>
              <w:t xml:space="preserve">HTML, JavaScript, CSS, AJAX, </w:t>
            </w:r>
          </w:p>
        </w:tc>
      </w:tr>
      <w:tr w:rsidR="005A2B99" w:rsidTr="00EB2311">
        <w:trPr>
          <w:trHeight w:val="1007"/>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Technology</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IBM WebSphere Message Broker v7/8</w:t>
            </w:r>
          </w:p>
          <w:p w:rsidR="005A2B99" w:rsidRDefault="005A2B99" w:rsidP="005A2B99">
            <w:pPr>
              <w:pStyle w:val="Header"/>
              <w:ind w:right="63"/>
              <w:jc w:val="left"/>
              <w:rPr>
                <w:sz w:val="20"/>
              </w:rPr>
            </w:pPr>
            <w:r>
              <w:rPr>
                <w:sz w:val="20"/>
              </w:rPr>
              <w:t>IBM Integration Bus v9</w:t>
            </w:r>
          </w:p>
          <w:p w:rsidR="005A2B99" w:rsidRDefault="005A2B99" w:rsidP="005A2B99">
            <w:pPr>
              <w:pStyle w:val="Header"/>
              <w:ind w:right="63"/>
              <w:jc w:val="left"/>
              <w:rPr>
                <w:sz w:val="20"/>
              </w:rPr>
            </w:pPr>
            <w:r>
              <w:rPr>
                <w:sz w:val="20"/>
              </w:rPr>
              <w:t>IBM WebSphere MQ v7.5</w:t>
            </w:r>
          </w:p>
          <w:p w:rsidR="005A2B99" w:rsidRDefault="005A2B99" w:rsidP="005A2B99">
            <w:pPr>
              <w:pStyle w:val="Header"/>
              <w:ind w:right="63"/>
              <w:jc w:val="left"/>
              <w:rPr>
                <w:sz w:val="20"/>
              </w:rPr>
            </w:pPr>
            <w:r>
              <w:rPr>
                <w:sz w:val="20"/>
              </w:rPr>
              <w:t>IBM WebSphere Service Registry &amp; Repository</w:t>
            </w:r>
          </w:p>
        </w:tc>
      </w:tr>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Version Control System</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Borland StarTeam, BitBucket</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Others</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EB2311" w:rsidP="00EB2311">
            <w:pPr>
              <w:pStyle w:val="Header"/>
              <w:ind w:right="63"/>
              <w:jc w:val="left"/>
              <w:rPr>
                <w:sz w:val="20"/>
              </w:rPr>
            </w:pPr>
            <w:r>
              <w:rPr>
                <w:sz w:val="20"/>
              </w:rPr>
              <w:t>XML, XSLT, XSD, WSDL</w:t>
            </w:r>
            <w:r w:rsidR="005A2B99">
              <w:rPr>
                <w:sz w:val="20"/>
              </w:rPr>
              <w:t>, Bamboo, UrbanCodeDeploy etc.</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EB2311" w:rsidRDefault="00357371" w:rsidP="009B37F9">
      <w:pPr>
        <w:pStyle w:val="Cog-H3a"/>
        <w:numPr>
          <w:ilvl w:val="0"/>
          <w:numId w:val="13"/>
        </w:numPr>
        <w:jc w:val="both"/>
        <w:rPr>
          <w:rFonts w:ascii="Tahoma" w:hAnsi="Tahoma" w:cs="Tahoma"/>
          <w:sz w:val="24"/>
          <w:szCs w:val="24"/>
          <w:u w:val="single"/>
        </w:rPr>
      </w:pPr>
      <w:r>
        <w:rPr>
          <w:rFonts w:ascii="Tahoma" w:hAnsi="Tahoma" w:cs="Tahoma"/>
          <w:sz w:val="24"/>
          <w:szCs w:val="24"/>
          <w:u w:val="single"/>
        </w:rPr>
        <w:t xml:space="preserve">Training and POCs in </w:t>
      </w:r>
      <w:r w:rsidR="00EB2311">
        <w:rPr>
          <w:rFonts w:ascii="Tahoma" w:hAnsi="Tahoma" w:cs="Tahoma"/>
          <w:sz w:val="24"/>
          <w:szCs w:val="24"/>
          <w:u w:val="single"/>
        </w:rPr>
        <w:t>Other Tools</w:t>
      </w:r>
    </w:p>
    <w:p w:rsidR="00EB2311" w:rsidRDefault="00357371" w:rsidP="00EB2311">
      <w:pPr>
        <w:pStyle w:val="Header"/>
        <w:numPr>
          <w:ilvl w:val="0"/>
          <w:numId w:val="19"/>
        </w:numPr>
        <w:ind w:right="63"/>
        <w:jc w:val="left"/>
        <w:rPr>
          <w:sz w:val="20"/>
        </w:rPr>
      </w:pPr>
      <w:r>
        <w:rPr>
          <w:sz w:val="20"/>
        </w:rPr>
        <w:t xml:space="preserve">Have been trained and did some POCs/Hands on in </w:t>
      </w:r>
      <w:r w:rsidR="00EB2311">
        <w:rPr>
          <w:sz w:val="20"/>
        </w:rPr>
        <w:t>IBM WebSphere DataPower XI50</w:t>
      </w:r>
    </w:p>
    <w:p w:rsid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sidRPr="00EB2311">
        <w:rPr>
          <w:sz w:val="20"/>
        </w:rPr>
        <w:t>IBM Process Designer v8.5</w:t>
      </w:r>
    </w:p>
    <w:p w:rsidR="00EB2311" w:rsidRP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Pr>
          <w:sz w:val="20"/>
        </w:rPr>
        <w:t>IBM API Connect v5</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IBM Bluem</w:t>
      </w:r>
      <w:r w:rsidR="00EB2311">
        <w:rPr>
          <w:sz w:val="20"/>
        </w:rPr>
        <w:t>ix Cloud Services</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NodeJS</w:t>
      </w:r>
    </w:p>
    <w:p w:rsidR="00EB2311" w:rsidRPr="005C7F32" w:rsidRDefault="00EB2311" w:rsidP="00EB2311">
      <w:pPr>
        <w:pStyle w:val="Header"/>
        <w:suppressAutoHyphens/>
        <w:spacing w:before="40" w:after="40"/>
        <w:ind w:right="63"/>
        <w:rPr>
          <w:rFonts w:ascii="Tahoma" w:hAnsi="Tahoma" w:cs="Tahoma"/>
          <w:szCs w:val="24"/>
          <w:u w:val="single"/>
        </w:rPr>
      </w:pPr>
    </w:p>
    <w:p w:rsidR="00CD79FB" w:rsidRPr="00C82E14" w:rsidRDefault="00C82E14" w:rsidP="009B37F9">
      <w:pPr>
        <w:pStyle w:val="Cog-H3a"/>
        <w:numPr>
          <w:ilvl w:val="0"/>
          <w:numId w:val="13"/>
        </w:numPr>
        <w:jc w:val="both"/>
        <w:rPr>
          <w:rFonts w:ascii="Tahoma" w:hAnsi="Tahoma" w:cs="Tahoma"/>
          <w:sz w:val="24"/>
          <w:szCs w:val="24"/>
          <w:u w:val="single"/>
        </w:rPr>
      </w:pPr>
      <w:r w:rsidRPr="00C82E14">
        <w:rPr>
          <w:rFonts w:ascii="Tahoma" w:hAnsi="Tahoma" w:cs="Tahoma"/>
          <w:sz w:val="24"/>
          <w:szCs w:val="24"/>
          <w:u w:val="single"/>
        </w:rPr>
        <w:t>Technical Certifications</w:t>
      </w:r>
    </w:p>
    <w:tbl>
      <w:tblPr>
        <w:tblStyle w:val="TableGrid2"/>
        <w:tblW w:w="9630" w:type="dxa"/>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30"/>
        <w:gridCol w:w="2340"/>
        <w:gridCol w:w="1260"/>
      </w:tblGrid>
      <w:tr w:rsidR="00C82E14" w:rsidRPr="00CD79FB" w:rsidTr="00C82E14">
        <w:tc>
          <w:tcPr>
            <w:tcW w:w="603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Subject of Certification</w:t>
            </w:r>
          </w:p>
        </w:tc>
        <w:tc>
          <w:tcPr>
            <w:tcW w:w="234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Certifying Authority</w:t>
            </w:r>
          </w:p>
        </w:tc>
        <w:tc>
          <w:tcPr>
            <w:tcW w:w="126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Date</w:t>
            </w:r>
          </w:p>
        </w:tc>
      </w:tr>
      <w:tr w:rsidR="00CD79FB" w:rsidRPr="00CD79FB" w:rsidTr="00C82E14">
        <w:tc>
          <w:tcPr>
            <w:tcW w:w="6030" w:type="dxa"/>
          </w:tcPr>
          <w:p w:rsidR="00CD79FB" w:rsidRPr="00CD79FB" w:rsidRDefault="007A5BAD" w:rsidP="00CD79FB">
            <w:pPr>
              <w:tabs>
                <w:tab w:val="center" w:pos="4320"/>
                <w:tab w:val="right" w:pos="8640"/>
              </w:tabs>
              <w:suppressAutoHyphens/>
              <w:spacing w:before="40" w:after="40"/>
              <w:ind w:right="63"/>
              <w:rPr>
                <w:rFonts w:ascii="Arial" w:hAnsi="Arial" w:cs="Arial"/>
                <w:lang w:eastAsia="ar-SA"/>
              </w:rPr>
            </w:pPr>
            <w:hyperlink r:id="rId11" w:history="1">
              <w:r w:rsidR="00CD79FB" w:rsidRPr="00042CC3">
                <w:rPr>
                  <w:rStyle w:val="Hyperlink"/>
                  <w:rFonts w:ascii="Arial" w:hAnsi="Arial" w:cs="Arial"/>
                  <w:lang w:eastAsia="ar-SA"/>
                </w:rPr>
                <w:t>IBM Cloud Platform Application Development V1</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Apr 2017</w:t>
            </w:r>
          </w:p>
        </w:tc>
      </w:tr>
      <w:tr w:rsidR="00CD79FB" w:rsidRPr="00CD79FB" w:rsidTr="00C82E14">
        <w:tc>
          <w:tcPr>
            <w:tcW w:w="6030" w:type="dxa"/>
          </w:tcPr>
          <w:p w:rsidR="00CD79FB" w:rsidRPr="00CD79FB" w:rsidRDefault="007A5BAD" w:rsidP="00CD79FB">
            <w:pPr>
              <w:tabs>
                <w:tab w:val="center" w:pos="4320"/>
                <w:tab w:val="right" w:pos="8640"/>
              </w:tabs>
              <w:suppressAutoHyphens/>
              <w:spacing w:before="40" w:after="40"/>
              <w:ind w:right="63"/>
              <w:rPr>
                <w:rFonts w:ascii="Arial" w:hAnsi="Arial" w:cs="Arial"/>
                <w:lang w:eastAsia="ar-SA"/>
              </w:rPr>
            </w:pPr>
            <w:hyperlink r:id="rId12" w:history="1">
              <w:r w:rsidR="00CD79FB" w:rsidRPr="00042CC3">
                <w:rPr>
                  <w:rStyle w:val="Hyperlink"/>
                  <w:rFonts w:ascii="Arial" w:hAnsi="Arial" w:cs="Arial"/>
                  <w:lang w:eastAsia="ar-SA"/>
                </w:rPr>
                <w:t>IBM Integration Bus V9.0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Sep 2016</w:t>
            </w:r>
          </w:p>
        </w:tc>
      </w:tr>
      <w:tr w:rsidR="00CD79FB" w:rsidRPr="00CD79FB" w:rsidTr="00C82E14">
        <w:tc>
          <w:tcPr>
            <w:tcW w:w="6030" w:type="dxa"/>
          </w:tcPr>
          <w:p w:rsidR="00CD79FB" w:rsidRPr="00CD79FB" w:rsidRDefault="007A5BAD" w:rsidP="00CD79FB">
            <w:pPr>
              <w:tabs>
                <w:tab w:val="center" w:pos="4320"/>
                <w:tab w:val="right" w:pos="8640"/>
              </w:tabs>
              <w:suppressAutoHyphens/>
              <w:spacing w:before="40" w:after="40"/>
              <w:ind w:right="63"/>
              <w:rPr>
                <w:rFonts w:ascii="Arial" w:hAnsi="Arial" w:cs="Arial"/>
                <w:lang w:eastAsia="ar-SA"/>
              </w:rPr>
            </w:pPr>
            <w:hyperlink r:id="rId13" w:history="1">
              <w:r w:rsidR="00CD79FB" w:rsidRPr="00042CC3">
                <w:rPr>
                  <w:rStyle w:val="Hyperlink"/>
                  <w:rFonts w:ascii="Arial" w:hAnsi="Arial" w:cs="Arial"/>
                  <w:lang w:eastAsia="ar-SA"/>
                </w:rPr>
                <w:t>IBM WebSphere Message Broker V8.0,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Dec 2014</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8F29FC" w:rsidRPr="0035705C" w:rsidRDefault="0035705C" w:rsidP="009B37F9">
      <w:pPr>
        <w:pStyle w:val="Cog-H3a"/>
        <w:numPr>
          <w:ilvl w:val="0"/>
          <w:numId w:val="13"/>
        </w:numPr>
        <w:jc w:val="both"/>
        <w:rPr>
          <w:rFonts w:ascii="Tahoma" w:hAnsi="Tahoma" w:cs="Tahoma"/>
          <w:sz w:val="24"/>
          <w:szCs w:val="24"/>
          <w:u w:val="single"/>
        </w:rPr>
      </w:pPr>
      <w:r w:rsidRPr="0035705C">
        <w:rPr>
          <w:rFonts w:ascii="Tahoma" w:hAnsi="Tahoma" w:cs="Tahoma"/>
          <w:sz w:val="24"/>
          <w:szCs w:val="24"/>
          <w:u w:val="single"/>
        </w:rPr>
        <w:lastRenderedPageBreak/>
        <w:t>Awards &amp; Recognitions:</w:t>
      </w:r>
    </w:p>
    <w:p w:rsidR="00042CC3" w:rsidRPr="008679A8"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4" w:history="1">
        <w:r w:rsidRPr="008A11B3">
          <w:rPr>
            <w:rStyle w:val="Hyperlink"/>
            <w:sz w:val="20"/>
          </w:rPr>
          <w:t>Cognizant Shining Star Award</w:t>
        </w:r>
      </w:hyperlink>
      <w:r w:rsidRPr="008679A8">
        <w:rPr>
          <w:sz w:val="20"/>
        </w:rPr>
        <w:t xml:space="preserve"> in October 2015 for going beyond the job responsibility.</w:t>
      </w:r>
    </w:p>
    <w:p w:rsidR="00042CC3"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5" w:history="1">
        <w:r w:rsidRPr="008A11B3">
          <w:rPr>
            <w:rStyle w:val="Hyperlink"/>
            <w:sz w:val="20"/>
          </w:rPr>
          <w:t>Cognizant Shining Star Award</w:t>
        </w:r>
      </w:hyperlink>
      <w:r w:rsidRPr="008679A8">
        <w:rPr>
          <w:sz w:val="20"/>
        </w:rPr>
        <w:t xml:space="preserve"> in May 2016 for the contribution to</w:t>
      </w:r>
      <w:r>
        <w:rPr>
          <w:sz w:val="20"/>
        </w:rPr>
        <w:t>wards</w:t>
      </w:r>
      <w:r w:rsidRPr="008679A8">
        <w:rPr>
          <w:sz w:val="20"/>
        </w:rPr>
        <w:t xml:space="preserve"> IPM Connect Activities.</w:t>
      </w:r>
    </w:p>
    <w:p w:rsidR="00593547" w:rsidRPr="00593547" w:rsidRDefault="00042CC3" w:rsidP="00593547">
      <w:pPr>
        <w:pStyle w:val="Header"/>
        <w:numPr>
          <w:ilvl w:val="0"/>
          <w:numId w:val="18"/>
        </w:numPr>
        <w:suppressAutoHyphens/>
        <w:spacing w:before="40" w:after="40"/>
        <w:ind w:right="63"/>
        <w:rPr>
          <w:sz w:val="20"/>
        </w:rPr>
      </w:pPr>
      <w:r w:rsidRPr="008679A8">
        <w:rPr>
          <w:sz w:val="20"/>
        </w:rPr>
        <w:t xml:space="preserve">Received </w:t>
      </w:r>
      <w:hyperlink r:id="rId16" w:history="1">
        <w:r w:rsidRPr="00287910">
          <w:rPr>
            <w:rStyle w:val="Hyperlink"/>
            <w:sz w:val="20"/>
          </w:rPr>
          <w:t>Associate of the Quarter in Q4</w:t>
        </w:r>
      </w:hyperlink>
      <w:r>
        <w:rPr>
          <w:sz w:val="20"/>
        </w:rPr>
        <w:t xml:space="preserve"> 2017 </w:t>
      </w:r>
      <w:r w:rsidRPr="008679A8">
        <w:rPr>
          <w:sz w:val="20"/>
        </w:rPr>
        <w:t xml:space="preserve">for </w:t>
      </w:r>
      <w:r>
        <w:rPr>
          <w:sz w:val="20"/>
        </w:rPr>
        <w:t>delivering multiple simultaneous projects seamlessly.</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C24487">
      <w:pPr>
        <w:pStyle w:val="Cog-H3a"/>
        <w:numPr>
          <w:ilvl w:val="0"/>
          <w:numId w:val="13"/>
        </w:numPr>
        <w:spacing w:before="0"/>
        <w:jc w:val="both"/>
        <w:rPr>
          <w:rFonts w:ascii="Tahoma" w:hAnsi="Tahoma" w:cs="Tahoma"/>
          <w:sz w:val="24"/>
          <w:szCs w:val="24"/>
          <w:u w:val="single"/>
        </w:rPr>
      </w:pPr>
      <w:r w:rsidRPr="00F5466E">
        <w:rPr>
          <w:rFonts w:ascii="Tahoma" w:hAnsi="Tahoma" w:cs="Tahoma"/>
          <w:sz w:val="24"/>
          <w:szCs w:val="24"/>
          <w:u w:val="single"/>
        </w:rPr>
        <w:t>Innovation/R&amp;D Activities:</w:t>
      </w:r>
    </w:p>
    <w:p w:rsidR="00E71274" w:rsidRPr="00960EB9" w:rsidRDefault="00E71274" w:rsidP="00E71274">
      <w:pPr>
        <w:pStyle w:val="Header"/>
        <w:numPr>
          <w:ilvl w:val="0"/>
          <w:numId w:val="7"/>
        </w:numPr>
        <w:suppressAutoHyphens/>
        <w:spacing w:before="40" w:after="40"/>
        <w:ind w:right="63"/>
        <w:rPr>
          <w:sz w:val="20"/>
        </w:rPr>
      </w:pPr>
      <w:r w:rsidRPr="00960EB9">
        <w:rPr>
          <w:sz w:val="20"/>
        </w:rPr>
        <w:t>Created a</w:t>
      </w:r>
      <w:r>
        <w:rPr>
          <w:sz w:val="20"/>
        </w:rPr>
        <w:t>n</w:t>
      </w:r>
      <w:r w:rsidRPr="00960EB9">
        <w:rPr>
          <w:sz w:val="20"/>
        </w:rPr>
        <w:t xml:space="preserve"> </w:t>
      </w:r>
      <w:hyperlink r:id="rId17" w:history="1">
        <w:r w:rsidRPr="007236F7">
          <w:rPr>
            <w:rStyle w:val="Hyperlink"/>
            <w:sz w:val="20"/>
          </w:rPr>
          <w:t>XSLT Transformer</w:t>
        </w:r>
      </w:hyperlink>
      <w:r w:rsidRPr="00960EB9">
        <w:rPr>
          <w:sz w:val="20"/>
        </w:rPr>
        <w:t xml:space="preserve"> Utility tool for implementing XSLT transform and some basic XML utility functions.</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w:t>
      </w:r>
      <w:hyperlink r:id="rId18" w:history="1">
        <w:r w:rsidRPr="00632102">
          <w:rPr>
            <w:rStyle w:val="Hyperlink"/>
            <w:sz w:val="20"/>
          </w:rPr>
          <w:t>Visual Mapping</w:t>
        </w:r>
      </w:hyperlink>
      <w:r w:rsidRPr="00960EB9">
        <w:rPr>
          <w:sz w:val="20"/>
        </w:rPr>
        <w:t xml:space="preserve"> Utility tool for implementing XML to XML mapping directly through UI.</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Global Cache Utility tool for implementing Create, Read, Update </w:t>
      </w:r>
      <w:r>
        <w:rPr>
          <w:sz w:val="20"/>
        </w:rPr>
        <w:t>and</w:t>
      </w:r>
      <w:r w:rsidRPr="00960EB9">
        <w:rPr>
          <w:sz w:val="20"/>
        </w:rPr>
        <w:t xml:space="preserve"> Delete operations directly on global cache of message brokers.</w:t>
      </w:r>
    </w:p>
    <w:p w:rsidR="0035705C" w:rsidRPr="00E71274" w:rsidRDefault="00E71274" w:rsidP="0035705C">
      <w:pPr>
        <w:pStyle w:val="Header"/>
        <w:numPr>
          <w:ilvl w:val="0"/>
          <w:numId w:val="7"/>
        </w:numPr>
        <w:suppressAutoHyphens/>
        <w:spacing w:before="40" w:after="40"/>
        <w:ind w:right="63"/>
        <w:rPr>
          <w:sz w:val="20"/>
        </w:rPr>
      </w:pPr>
      <w:r>
        <w:rPr>
          <w:sz w:val="20"/>
        </w:rPr>
        <w:t>Developed the complete MQ based EAD Gateway Framework similar to SOAP based EAD Gateway Framework.</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91145C">
      <w:pPr>
        <w:pStyle w:val="Cog-H3a"/>
        <w:numPr>
          <w:ilvl w:val="0"/>
          <w:numId w:val="13"/>
        </w:numPr>
        <w:spacing w:before="0"/>
        <w:jc w:val="both"/>
        <w:rPr>
          <w:rFonts w:ascii="Tahoma" w:hAnsi="Tahoma" w:cs="Tahoma"/>
          <w:sz w:val="24"/>
          <w:szCs w:val="24"/>
          <w:u w:val="single"/>
        </w:rPr>
      </w:pPr>
      <w:r w:rsidRPr="0035705C">
        <w:rPr>
          <w:rFonts w:ascii="Tahoma" w:hAnsi="Tahoma" w:cs="Tahoma"/>
          <w:sz w:val="24"/>
          <w:szCs w:val="24"/>
          <w:u w:val="single"/>
        </w:rPr>
        <w:t>P</w:t>
      </w:r>
      <w:r w:rsidR="00F5466E" w:rsidRPr="00F5466E">
        <w:rPr>
          <w:rFonts w:ascii="Tahoma" w:hAnsi="Tahoma" w:cs="Tahoma"/>
          <w:sz w:val="24"/>
          <w:szCs w:val="24"/>
          <w:u w:val="single"/>
        </w:rPr>
        <w:t>roject Experience</w:t>
      </w:r>
    </w:p>
    <w:p w:rsidR="000E53AB" w:rsidRPr="000E53AB" w:rsidRDefault="000E53AB" w:rsidP="000E53AB">
      <w:pPr>
        <w:pStyle w:val="Header"/>
        <w:numPr>
          <w:ilvl w:val="0"/>
          <w:numId w:val="17"/>
        </w:numPr>
        <w:suppressAutoHyphens/>
        <w:spacing w:before="40" w:after="40"/>
        <w:ind w:right="63"/>
        <w:rPr>
          <w:sz w:val="24"/>
        </w:rPr>
      </w:pPr>
      <w:r w:rsidRPr="000E53AB">
        <w:rPr>
          <w:b/>
          <w:sz w:val="24"/>
        </w:rPr>
        <w:t>Organisation</w:t>
      </w:r>
      <w:r w:rsidRPr="000E53AB">
        <w:rPr>
          <w:sz w:val="24"/>
        </w:rPr>
        <w:t>: Cognizant Technology Solutions India Pvt. Ltd.</w:t>
      </w:r>
    </w:p>
    <w:p w:rsidR="007130C6" w:rsidRDefault="000E53AB" w:rsidP="000E53AB">
      <w:pPr>
        <w:pStyle w:val="Header"/>
        <w:numPr>
          <w:ilvl w:val="0"/>
          <w:numId w:val="17"/>
        </w:numPr>
        <w:suppressAutoHyphens/>
        <w:spacing w:before="40" w:after="40"/>
        <w:ind w:right="63"/>
        <w:rPr>
          <w:sz w:val="24"/>
        </w:rPr>
      </w:pPr>
      <w:r w:rsidRPr="000E53AB">
        <w:rPr>
          <w:b/>
          <w:sz w:val="24"/>
        </w:rPr>
        <w:t>Client</w:t>
      </w:r>
      <w:r w:rsidRPr="000E53AB">
        <w:rPr>
          <w:sz w:val="24"/>
        </w:rPr>
        <w:t>:  MetLife Insurance, USA</w:t>
      </w:r>
    </w:p>
    <w:p w:rsidR="00D62C3D" w:rsidRPr="005C7F32" w:rsidRDefault="00D62C3D" w:rsidP="005C7F32">
      <w:pPr>
        <w:autoSpaceDE w:val="0"/>
        <w:autoSpaceDN w:val="0"/>
        <w:ind w:firstLine="720"/>
        <w:rPr>
          <w:rFonts w:ascii="Tahoma" w:hAnsi="Tahoma" w:cs="Tahoma"/>
          <w:color w:val="000000"/>
          <w:sz w:val="16"/>
        </w:rPr>
      </w:pPr>
    </w:p>
    <w:p w:rsidR="0075513A" w:rsidRDefault="0075513A" w:rsidP="0075513A">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1</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5513A" w:rsidRPr="00A60C75" w:rsidTr="005C7F32">
        <w:trPr>
          <w:trHeight w:val="305"/>
        </w:trPr>
        <w:tc>
          <w:tcPr>
            <w:tcW w:w="2520" w:type="dxa"/>
          </w:tcPr>
          <w:p w:rsidR="0075513A" w:rsidRPr="00A60C75" w:rsidRDefault="0075513A" w:rsidP="008F4717">
            <w:pPr>
              <w:rPr>
                <w:rFonts w:ascii="Tahoma" w:hAnsi="Tahoma" w:cs="Tahoma"/>
                <w:b/>
                <w:bCs/>
              </w:rPr>
            </w:pPr>
            <w:r w:rsidRPr="00A60C75">
              <w:rPr>
                <w:rFonts w:ascii="Tahoma" w:hAnsi="Tahoma" w:cs="Tahoma"/>
                <w:b/>
                <w:bCs/>
              </w:rPr>
              <w:t>Project Name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Pr>
                <w:rFonts w:ascii="Tahoma" w:hAnsi="Tahoma" w:cs="Tahoma"/>
                <w:color w:val="000000"/>
              </w:rPr>
              <w:t>Opportunity Management</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Platform</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Windows 7</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Pr>
                <w:rFonts w:ascii="Tahoma" w:hAnsi="Tahoma" w:cs="Tahoma"/>
                <w:color w:val="000000"/>
                <w:sz w:val="20"/>
                <w:szCs w:val="20"/>
              </w:rPr>
              <w:t>3</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5513A" w:rsidRPr="00A60C75" w:rsidTr="005C7F32">
        <w:trPr>
          <w:trHeight w:val="800"/>
        </w:trPr>
        <w:tc>
          <w:tcPr>
            <w:tcW w:w="2520" w:type="dxa"/>
          </w:tcPr>
          <w:p w:rsidR="0075513A" w:rsidRPr="00A60C75" w:rsidRDefault="0075513A" w:rsidP="008F4717">
            <w:pPr>
              <w:rPr>
                <w:rFonts w:ascii="Tahoma" w:hAnsi="Tahoma" w:cs="Tahoma"/>
                <w:b/>
                <w:bCs/>
              </w:rPr>
            </w:pPr>
            <w:r w:rsidRPr="00A60C75">
              <w:rPr>
                <w:rFonts w:ascii="Tahoma" w:hAnsi="Tahoma" w:cs="Tahoma"/>
                <w:b/>
                <w:bCs/>
              </w:rPr>
              <w:t>Software used</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Duration</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75513A">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 Present</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rPr>
              <w:t>Role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Developer</w:t>
            </w:r>
          </w:p>
        </w:tc>
      </w:tr>
    </w:tbl>
    <w:p w:rsidR="0075513A" w:rsidRPr="005C7F32" w:rsidRDefault="0075513A" w:rsidP="0075513A">
      <w:pPr>
        <w:autoSpaceDE w:val="0"/>
        <w:autoSpaceDN w:val="0"/>
        <w:ind w:firstLine="720"/>
        <w:rPr>
          <w:rFonts w:ascii="Tahoma" w:hAnsi="Tahoma" w:cs="Tahoma"/>
          <w:color w:val="000000"/>
          <w:sz w:val="16"/>
        </w:rPr>
      </w:pPr>
    </w:p>
    <w:p w:rsidR="0075513A" w:rsidRPr="00D74A71" w:rsidRDefault="0075513A"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5513A" w:rsidRPr="00C24487" w:rsidRDefault="0075513A" w:rsidP="005C7F32">
      <w:pPr>
        <w:autoSpaceDE w:val="0"/>
        <w:autoSpaceDN w:val="0"/>
        <w:ind w:firstLine="720"/>
        <w:rPr>
          <w:rFonts w:ascii="Tahoma" w:hAnsi="Tahoma" w:cs="Tahoma"/>
          <w:color w:val="000000"/>
          <w:sz w:val="10"/>
        </w:rPr>
      </w:pPr>
    </w:p>
    <w:p w:rsidR="0075513A" w:rsidRPr="005C7F32" w:rsidRDefault="0075513A" w:rsidP="0075513A">
      <w:pPr>
        <w:ind w:left="720" w:firstLine="720"/>
        <w:jc w:val="both"/>
        <w:rPr>
          <w:rFonts w:cs="Arial"/>
          <w:bCs/>
        </w:rPr>
      </w:pPr>
      <w:r w:rsidRPr="005C7F32">
        <w:rPr>
          <w:rFonts w:cs="Arial"/>
          <w:bCs/>
        </w:rPr>
        <w:t>As part of FEA Close Out project, two new services ‘Publish Opportunity’ and ‘Publish Quote’ has been developed. In Publish Opportunity the incoming request will be routed to different destinations like SFDC/GSP/iMPAQS based on TransType value. In Publish Quote service we would fetch the Universal Produce ID (UPI ID) information from SDS Services in LookupIntermediatory. It will append this UPI information to the Incoming request and sends this combine request to Cast Iron queue for further processing.</w:t>
      </w:r>
    </w:p>
    <w:p w:rsidR="0075513A" w:rsidRPr="00C24487" w:rsidRDefault="0075513A" w:rsidP="0075513A">
      <w:pPr>
        <w:autoSpaceDE w:val="0"/>
        <w:autoSpaceDN w:val="0"/>
        <w:rPr>
          <w:rFonts w:ascii="Tahoma" w:eastAsiaTheme="minorHAnsi" w:hAnsi="Tahoma" w:cs="Tahoma"/>
          <w:sz w:val="10"/>
          <w:szCs w:val="22"/>
        </w:rPr>
      </w:pPr>
      <w:r w:rsidRPr="000E510C">
        <w:rPr>
          <w:rFonts w:ascii="Tahoma" w:hAnsi="Tahoma" w:cs="Tahoma"/>
        </w:rPr>
        <w:t> </w:t>
      </w:r>
      <w:r>
        <w:rPr>
          <w:rFonts w:ascii="Tahoma" w:hAnsi="Tahoma" w:cs="Tahoma"/>
        </w:rPr>
        <w:tab/>
      </w:r>
    </w:p>
    <w:p w:rsidR="0075513A" w:rsidRPr="00D74A71" w:rsidRDefault="0075513A"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5513A" w:rsidRPr="00C24487" w:rsidRDefault="0075513A" w:rsidP="0075513A">
      <w:pPr>
        <w:autoSpaceDE w:val="0"/>
        <w:autoSpaceDN w:val="0"/>
        <w:rPr>
          <w:color w:val="000000"/>
          <w:sz w:val="10"/>
        </w:rPr>
      </w:pPr>
      <w:r>
        <w:rPr>
          <w:rStyle w:val="Emphasis"/>
          <w:rFonts w:ascii="Tahoma" w:hAnsi="Tahoma" w:cs="Tahoma"/>
          <w:b/>
          <w:i w:val="0"/>
        </w:rPr>
        <w:tab/>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C24487" w:rsidRDefault="005C7F32"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lastRenderedPageBreak/>
        <w:t>Project #</w:t>
      </w:r>
      <w:r w:rsidR="00CA1808">
        <w:rPr>
          <w:rFonts w:ascii="Tahoma" w:hAnsi="Tahoma" w:cs="Tahoma"/>
          <w:sz w:val="24"/>
          <w:szCs w:val="24"/>
          <w:u w:val="single"/>
        </w:rPr>
        <w:t>2</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Communication Hub</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1</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 Present</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74C08" w:rsidRDefault="00936656" w:rsidP="00936656">
      <w:pPr>
        <w:ind w:left="720" w:firstLine="720"/>
        <w:jc w:val="both"/>
        <w:rPr>
          <w:rFonts w:cs="Arial"/>
          <w:bCs/>
        </w:rPr>
      </w:pPr>
      <w:r w:rsidRPr="00474C08">
        <w:rPr>
          <w:rFonts w:cs="Arial"/>
          <w:bCs/>
        </w:rPr>
        <w:t>The Communication Hub will facilitate the intake of different types of events and identify which ones are translated into communications.  This could involve additional data enrichment.  Once the identification is complete, the information will be stored in the Communication Hub repository. Depending on the vendor we are integrating with, the Communication Hub will distribute the message.  The message distributed will depend on the capabilities available with the vendor.  For instance, in the US, the vendor can support message formatting.  This capability may not be available in all countries. Additionally, Communication Hub would provide capabilities for tracking the delivery status for each communication as well as storing the final message sent out to the recipient.</w:t>
      </w:r>
      <w:r>
        <w:rPr>
          <w:rFonts w:cs="Arial"/>
          <w:bCs/>
        </w:rPr>
        <w:t xml:space="preserve">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Default="005C7F32" w:rsidP="005C7F32">
      <w:pPr>
        <w:snapToGrid w:val="0"/>
        <w:jc w:val="both"/>
        <w:rPr>
          <w:rFonts w:ascii="Tahoma" w:hAnsi="Tahoma" w:cs="Tahoma"/>
          <w:color w:val="000000"/>
          <w:sz w:val="16"/>
        </w:rPr>
      </w:pPr>
    </w:p>
    <w:p w:rsidR="00C24487" w:rsidRPr="005C7F32" w:rsidRDefault="00C24487"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3</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CPM</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5</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B671C7" w:rsidP="00B671C7">
            <w:pPr>
              <w:snapToGrid w:val="0"/>
              <w:rPr>
                <w:rFonts w:ascii="Tahoma" w:hAnsi="Tahoma" w:cs="Tahoma"/>
                <w:color w:val="000000"/>
              </w:rPr>
            </w:pPr>
            <w:r>
              <w:rPr>
                <w:rFonts w:ascii="Tahoma" w:hAnsi="Tahoma" w:cs="Tahoma"/>
                <w:color w:val="000000"/>
              </w:rPr>
              <w:t>Nov</w:t>
            </w:r>
            <w:r w:rsidR="00936656" w:rsidRPr="00A60C75">
              <w:rPr>
                <w:rFonts w:ascii="Tahoma" w:hAnsi="Tahoma" w:cs="Tahoma"/>
                <w:color w:val="000000"/>
              </w:rPr>
              <w:t xml:space="preserve"> 201</w:t>
            </w:r>
            <w:r>
              <w:rPr>
                <w:rFonts w:ascii="Tahoma" w:hAnsi="Tahoma" w:cs="Tahoma"/>
                <w:color w:val="000000"/>
              </w:rPr>
              <w:t>7</w:t>
            </w:r>
            <w:r w:rsidR="00936656" w:rsidRPr="00A60C75">
              <w:rPr>
                <w:rFonts w:ascii="Tahoma" w:hAnsi="Tahoma" w:cs="Tahoma"/>
                <w:color w:val="000000"/>
              </w:rPr>
              <w:t xml:space="preserve"> </w:t>
            </w:r>
            <w:r>
              <w:rPr>
                <w:rFonts w:ascii="Tahoma" w:hAnsi="Tahoma" w:cs="Tahoma"/>
                <w:color w:val="000000"/>
              </w:rPr>
              <w:t>–</w:t>
            </w:r>
            <w:r w:rsidR="00936656" w:rsidRPr="00A60C75">
              <w:rPr>
                <w:rFonts w:ascii="Tahoma" w:hAnsi="Tahoma" w:cs="Tahoma"/>
                <w:color w:val="000000"/>
              </w:rPr>
              <w:t xml:space="preserve"> </w:t>
            </w:r>
            <w:r>
              <w:rPr>
                <w:rFonts w:ascii="Tahoma" w:hAnsi="Tahoma" w:cs="Tahoma"/>
                <w:color w:val="000000"/>
              </w:rPr>
              <w:t>Mar 2018</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C24487" w:rsidRPr="00C24487" w:rsidRDefault="00C24487" w:rsidP="00C24487">
      <w:pPr>
        <w:autoSpaceDE w:val="0"/>
        <w:autoSpaceDN w:val="0"/>
        <w:rPr>
          <w:rFonts w:ascii="Tahoma" w:hAnsi="Tahoma" w:cs="Tahoma"/>
          <w:b/>
          <w:sz w:val="22"/>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lastRenderedPageBreak/>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D10E3" w:rsidRDefault="00936656" w:rsidP="00936656">
      <w:pPr>
        <w:ind w:left="720" w:firstLine="720"/>
        <w:rPr>
          <w:rFonts w:cs="Arial"/>
        </w:rPr>
      </w:pPr>
      <w:r w:rsidRPr="004D10E3">
        <w:rPr>
          <w:rFonts w:cs="Arial"/>
        </w:rPr>
        <w:t xml:space="preserve">The objective of this </w:t>
      </w:r>
      <w:r>
        <w:rPr>
          <w:rFonts w:cs="Arial"/>
        </w:rPr>
        <w:t>project</w:t>
      </w:r>
      <w:r w:rsidRPr="004D10E3">
        <w:rPr>
          <w:rFonts w:cs="Arial"/>
        </w:rPr>
        <w:t xml:space="preserve"> is to </w:t>
      </w:r>
      <w:r>
        <w:rPr>
          <w:rFonts w:cs="Arial"/>
        </w:rPr>
        <w:t xml:space="preserve">develop a strategic platform for the GPM Application to provide Party related services. The Party Search, Inquiry and Create services will be developed as generic services to interact with GPM 3.0 Application.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936656" w:rsidP="005C7F32">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5C7F32" w:rsidRDefault="005C7F32" w:rsidP="005C7F32">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4</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Property And Casualty (P&amp;C)</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33</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6 (1 Onsite, 5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Message Broker v8</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MQ v7.5</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Oct 2014 - Nov 2015 and Jun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8"/>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mainframe services is using WebSphere MQ and Distributed services via web services leveraging the WebSphere Message Broker (WMB) technology. According to the current scope, some back-end services are exposed as a web service via SOAP over HTTP and some mainframe services have exposed via MQ queue. ESB has implemented one gateway and pattern specific proxy flows, where gateway will route the message to proxy flows and proxy flow will do the required message transformation and invoke the respective provider application.  Currently we have two pattern specific proxy flows:  one for MQ backed and other for web service backend.</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0C59CB"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0C59CB" w:rsidRDefault="000C59CB" w:rsidP="000C59CB">
      <w:pPr>
        <w:snapToGrid w:val="0"/>
        <w:jc w:val="both"/>
        <w:rPr>
          <w:rFonts w:ascii="Tahoma" w:hAnsi="Tahoma" w:cs="Tahoma"/>
          <w:color w:val="000000"/>
          <w:sz w:val="16"/>
        </w:rPr>
      </w:pPr>
    </w:p>
    <w:p w:rsidR="00C24487" w:rsidRPr="005C7F32" w:rsidRDefault="00C24487" w:rsidP="000C59CB">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lastRenderedPageBreak/>
        <w:t>Project #</w:t>
      </w:r>
      <w:r w:rsidR="00CA1808">
        <w:rPr>
          <w:rFonts w:ascii="Tahoma" w:hAnsi="Tahoma" w:cs="Tahoma"/>
          <w:sz w:val="24"/>
          <w:szCs w:val="24"/>
          <w:u w:val="single"/>
        </w:rPr>
        <w:t>5</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Statement of Health (SOH)</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16</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Pr>
                <w:rFonts w:ascii="Tahoma" w:hAnsi="Tahoma" w:cs="Tahoma"/>
                <w:color w:val="000000"/>
              </w:rPr>
              <w:t xml:space="preserve">Aug 2014 - </w:t>
            </w:r>
            <w:r w:rsidRPr="00A60C75">
              <w:rPr>
                <w:rFonts w:ascii="Tahoma" w:hAnsi="Tahoma" w:cs="Tahoma"/>
                <w:color w:val="000000"/>
              </w:rPr>
              <w:t>Oct 2014</w:t>
            </w:r>
            <w:r>
              <w:rPr>
                <w:rFonts w:ascii="Tahoma" w:hAnsi="Tahoma" w:cs="Tahoma"/>
                <w:color w:val="000000"/>
              </w:rPr>
              <w:t xml:space="preserve"> and Nov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6"/>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back-end services exposed by different back-ends like StarTrak, eOps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0C59CB" w:rsidRPr="003E24D7" w:rsidRDefault="000C59CB" w:rsidP="000C59CB">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0C59CB" w:rsidRPr="003E24D7" w:rsidRDefault="000C59CB" w:rsidP="000C59CB">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0C59CB" w:rsidRDefault="000C59CB" w:rsidP="000C59CB">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0C59CB" w:rsidRPr="000C59CB" w:rsidRDefault="000C59CB" w:rsidP="000C59CB">
      <w:pPr>
        <w:snapToGrid w:val="0"/>
        <w:jc w:val="both"/>
        <w:rPr>
          <w:rFonts w:ascii="Tahoma" w:hAnsi="Tahoma" w:cs="Tahoma"/>
          <w:color w:val="000000"/>
          <w:sz w:val="16"/>
        </w:rPr>
      </w:pPr>
    </w:p>
    <w:p w:rsidR="00733987" w:rsidRDefault="00733987" w:rsidP="007339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6</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8F4717">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Enterprise Death Match (EDM)</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Platform</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MQ, SOAP/HTTP</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Duration</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82280">
            <w:pPr>
              <w:snapToGrid w:val="0"/>
              <w:rPr>
                <w:rFonts w:ascii="Tahoma" w:hAnsi="Tahoma" w:cs="Tahoma"/>
                <w:color w:val="000000"/>
              </w:rPr>
            </w:pPr>
            <w:r w:rsidRPr="00A60C75">
              <w:rPr>
                <w:rFonts w:ascii="Tahoma" w:hAnsi="Tahoma" w:cs="Tahoma"/>
                <w:color w:val="000000"/>
              </w:rPr>
              <w:t xml:space="preserve">Oct 2015 </w:t>
            </w:r>
            <w:r w:rsidR="00C82280">
              <w:rPr>
                <w:rFonts w:ascii="Tahoma" w:hAnsi="Tahoma" w:cs="Tahoma"/>
                <w:color w:val="000000"/>
              </w:rPr>
              <w:t>–</w:t>
            </w:r>
            <w:r w:rsidRPr="00A60C75">
              <w:rPr>
                <w:rFonts w:ascii="Tahoma" w:hAnsi="Tahoma" w:cs="Tahoma"/>
                <w:color w:val="000000"/>
              </w:rPr>
              <w:t xml:space="preserve"> </w:t>
            </w:r>
            <w:r w:rsidR="00C82280">
              <w:rPr>
                <w:rFonts w:ascii="Tahoma" w:hAnsi="Tahoma" w:cs="Tahoma"/>
                <w:color w:val="000000"/>
              </w:rPr>
              <w:t>Mar 2018</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rPr>
              <w:t>Role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GPM Notification initiative is in response to accommodate and provide visibility on GPM data quality and data changes to LOB’s so that they can effectively manage business operations. The objective of this notification is to proactively inform business partners about party/policy changes.</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lastRenderedPageBreak/>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5C7F32" w:rsidRPr="005C7F32" w:rsidRDefault="005C7F32" w:rsidP="005C7F32">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7</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Tr="00C82280">
        <w:trPr>
          <w:trHeight w:val="305"/>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Project Name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A264D4">
              <w:rPr>
                <w:rFonts w:ascii="Tahoma" w:hAnsi="Tahoma" w:cs="Tahoma"/>
                <w:color w:val="000000"/>
              </w:rPr>
              <w:t>Global Party Management - Notification Update</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Platform</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Windows 7</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5</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SOAP/HTTP, MQ (Publish – Subscribe Concept)</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2 (1 Onsite, 1 off-shore)</w:t>
            </w:r>
          </w:p>
        </w:tc>
      </w:tr>
      <w:tr w:rsidR="00733987"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t>Software used</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Message Broker v8</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MQ v7.5</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Service Registry &amp; Repository</w:t>
            </w:r>
          </w:p>
        </w:tc>
      </w:tr>
      <w:tr w:rsidR="00733987" w:rsidTr="00C82280">
        <w:trPr>
          <w:trHeight w:val="350"/>
        </w:trPr>
        <w:tc>
          <w:tcPr>
            <w:tcW w:w="2520" w:type="dxa"/>
          </w:tcPr>
          <w:p w:rsidR="00733987" w:rsidRPr="00A60C75" w:rsidRDefault="00733987" w:rsidP="008F4717">
            <w:pPr>
              <w:rPr>
                <w:rFonts w:ascii="Tahoma" w:hAnsi="Tahoma" w:cs="Tahoma"/>
                <w:b/>
                <w:bCs/>
              </w:rPr>
            </w:pPr>
            <w:r w:rsidRPr="000E510C">
              <w:rPr>
                <w:rFonts w:ascii="Tahoma" w:hAnsi="Tahoma" w:cs="Tahoma"/>
                <w:b/>
                <w:bCs/>
              </w:rPr>
              <w:t>Duration</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733987">
            <w:pPr>
              <w:snapToGrid w:val="0"/>
              <w:rPr>
                <w:rFonts w:ascii="Tahoma" w:hAnsi="Tahoma" w:cs="Tahoma"/>
                <w:color w:val="000000"/>
              </w:rPr>
            </w:pPr>
            <w:r w:rsidRPr="00A264D4">
              <w:rPr>
                <w:rFonts w:ascii="Tahoma" w:hAnsi="Tahoma" w:cs="Tahoma"/>
                <w:color w:val="000000"/>
              </w:rPr>
              <w:t xml:space="preserve">Nov 2016 </w:t>
            </w:r>
            <w:r>
              <w:rPr>
                <w:rFonts w:ascii="Tahoma" w:hAnsi="Tahoma" w:cs="Tahoma"/>
                <w:color w:val="000000"/>
              </w:rPr>
              <w:t>–</w:t>
            </w:r>
            <w:r w:rsidRPr="00A264D4">
              <w:rPr>
                <w:rFonts w:ascii="Tahoma" w:hAnsi="Tahoma" w:cs="Tahoma"/>
                <w:color w:val="000000"/>
              </w:rPr>
              <w:t xml:space="preserve"> </w:t>
            </w:r>
            <w:r>
              <w:rPr>
                <w:rFonts w:ascii="Tahoma" w:hAnsi="Tahoma" w:cs="Tahoma"/>
                <w:color w:val="000000"/>
              </w:rPr>
              <w:t>Mar 2018</w:t>
            </w:r>
          </w:p>
        </w:tc>
      </w:tr>
      <w:tr w:rsidR="00733987"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Role</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autoSpaceDE w:val="0"/>
        <w:autoSpaceDN w:val="0"/>
        <w:rPr>
          <w:rFonts w:ascii="Tahoma" w:eastAsiaTheme="minorHAnsi" w:hAnsi="Tahoma" w:cs="Tahoma"/>
          <w:sz w:val="12"/>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objective of this project is to ensure that MetLife is adhering to all required regulatory and settlement obligations of ensuring proper identification and pay-out on death claims to customers and/or escheat these funds to the state if a beneficiary is unable to be located within our prescribed timelines.</w:t>
      </w:r>
    </w:p>
    <w:p w:rsidR="00733987" w:rsidRPr="005C7F32" w:rsidRDefault="00733987" w:rsidP="00733987">
      <w:pPr>
        <w:autoSpaceDE w:val="0"/>
        <w:autoSpaceDN w:val="0"/>
        <w:rPr>
          <w:color w:val="000000"/>
          <w:sz w:val="16"/>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8</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C55602">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Global Party Management – CAC</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t>Platform</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3</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C55602">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lastRenderedPageBreak/>
              <w:t>Duration</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Oct 2015 - Apr 2016</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rPr>
              <w:t>Role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(Global Partner Manager)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autoSpaceDE w:val="0"/>
        <w:autoSpaceDN w:val="0"/>
        <w:rPr>
          <w:rFonts w:ascii="Tahoma" w:hAnsi="Tahoma" w:cs="Tahoma"/>
          <w:sz w:val="16"/>
          <w:szCs w:val="24"/>
          <w:u w:val="single"/>
        </w:rPr>
      </w:pPr>
    </w:p>
    <w:p w:rsidR="00733987" w:rsidRDefault="00733987" w:rsidP="00C244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9</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544FA5">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Global Party Management – Start4</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Platform</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0C59CB">
        <w:trPr>
          <w:trHeight w:val="800"/>
        </w:trPr>
        <w:tc>
          <w:tcPr>
            <w:tcW w:w="2520" w:type="dxa"/>
          </w:tcPr>
          <w:p w:rsidR="00733987" w:rsidRPr="00A60C75" w:rsidRDefault="00733987" w:rsidP="00544FA5">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Duration</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Oct 2015 – Jun 2016</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rPr>
              <w:t>Role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rPr>
          <w:rFonts w:ascii="Tahoma" w:eastAsiaTheme="minorHAnsi" w:hAnsi="Tahoma" w:cs="Tahoma"/>
          <w:sz w:val="10"/>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2.0 services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 And those flows will process the request message and transform it according to the mapping sheet and invoke the specific back-end service. It might be required to call multiple back-end services and then send a consolidated response to the consumers.</w:t>
      </w:r>
    </w:p>
    <w:p w:rsidR="00733987" w:rsidRPr="00C24487"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10</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202083">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Online Beneficiary Claim (BeneClaim)</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Platform</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13</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FTP, SOAP/HTTP, MQ</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3 (1 Onsite, 2 off-shore)</w:t>
            </w:r>
          </w:p>
        </w:tc>
      </w:tr>
      <w:tr w:rsidR="00733987" w:rsidRPr="00A60C75" w:rsidTr="000C59CB">
        <w:trPr>
          <w:trHeight w:val="800"/>
        </w:trPr>
        <w:tc>
          <w:tcPr>
            <w:tcW w:w="2520" w:type="dxa"/>
          </w:tcPr>
          <w:p w:rsidR="00733987" w:rsidRPr="00A60C75" w:rsidRDefault="00733987" w:rsidP="00202083">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Message Broker v7</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MQ v7.5</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Duration</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rPr>
              <w:t>Role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8"/>
          <w:szCs w:val="22"/>
        </w:rPr>
      </w:pPr>
    </w:p>
    <w:p w:rsidR="005C7F32"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5C7F32">
      <w:pPr>
        <w:autoSpaceDE w:val="0"/>
        <w:autoSpaceDN w:val="0"/>
        <w:ind w:firstLine="720"/>
        <w:rPr>
          <w:rFonts w:ascii="Tahoma" w:hAnsi="Tahoma" w:cs="Tahoma"/>
          <w:b/>
          <w:sz w:val="16"/>
          <w:szCs w:val="22"/>
        </w:rPr>
      </w:pP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different back-ends like BSO, BIOS, eDPM, DSIL etc. is using Web Services leveraging the WebSphere Message Broker (WMB) technology. According to the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1</w:t>
      </w:r>
      <w:r w:rsidR="00CA1808">
        <w:rPr>
          <w:rFonts w:ascii="Tahoma" w:hAnsi="Tahoma" w:cs="Tahoma"/>
          <w:sz w:val="24"/>
          <w:szCs w:val="24"/>
          <w:u w:val="single"/>
        </w:rPr>
        <w:t>1</w:t>
      </w:r>
    </w:p>
    <w:tbl>
      <w:tblPr>
        <w:tblStyle w:val="TableGrid"/>
        <w:tblW w:w="8910" w:type="dxa"/>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17"/>
        <w:gridCol w:w="287"/>
        <w:gridCol w:w="6106"/>
      </w:tblGrid>
      <w:tr w:rsidR="00733987" w:rsidRPr="00A60C75" w:rsidTr="000C59CB">
        <w:trPr>
          <w:trHeight w:val="305"/>
        </w:trPr>
        <w:tc>
          <w:tcPr>
            <w:tcW w:w="2520" w:type="dxa"/>
          </w:tcPr>
          <w:p w:rsidR="00733987" w:rsidRPr="00A60C75" w:rsidRDefault="00733987" w:rsidP="00475BAC">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Global Service Platform - Global Employee Benefit (GSvP-GEB)</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Platform</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71</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733987" w:rsidRPr="00A60C75" w:rsidTr="000C59CB">
        <w:trPr>
          <w:trHeight w:val="800"/>
        </w:trPr>
        <w:tc>
          <w:tcPr>
            <w:tcW w:w="2520" w:type="dxa"/>
          </w:tcPr>
          <w:p w:rsidR="00733987" w:rsidRPr="00A60C75" w:rsidRDefault="00733987" w:rsidP="00475BAC">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475BAC">
            <w:pPr>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Duration</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rPr>
              <w:t>Role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5C7F32">
      <w:pPr>
        <w:snapToGrid w:val="0"/>
        <w:ind w:left="720" w:firstLine="720"/>
        <w:jc w:val="both"/>
        <w:rPr>
          <w:rFonts w:cs="Arial"/>
          <w:bCs/>
        </w:rPr>
      </w:pPr>
      <w:r w:rsidRPr="005C7F32">
        <w:rPr>
          <w:rFonts w:cs="Arial"/>
          <w:bCs/>
        </w:rPr>
        <w:t xml:space="preserve">The preferred mechanism of integrating the back-end services exposed by different back-ends like eBenefits, COMPASS, SWAK, SFDC and IBSE is using Web Services leveraging the WebSphere Message Broker </w:t>
      </w:r>
      <w:r w:rsidRPr="005C7F32">
        <w:rPr>
          <w:rFonts w:cs="Arial"/>
          <w:bCs/>
        </w:rPr>
        <w:lastRenderedPageBreak/>
        <w:t>(WMB)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rStyle w:val="Emphasis"/>
          <w:rFonts w:ascii="Tahoma" w:hAnsi="Tahoma" w:cs="Tahoma"/>
          <w:i w:val="0"/>
          <w:iCs w:val="0"/>
          <w:sz w:val="16"/>
          <w:lang w:val="en-US" w:eastAsia="en-US"/>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Pr="00AC44A0" w:rsidRDefault="00733987" w:rsidP="00AC44A0">
      <w:pPr>
        <w:autoSpaceDE w:val="0"/>
        <w:autoSpaceDN w:val="0"/>
        <w:rPr>
          <w:sz w:val="18"/>
        </w:rPr>
      </w:pPr>
    </w:p>
    <w:p w:rsidR="00760A48"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Strength</w:t>
      </w:r>
    </w:p>
    <w:p w:rsidR="000F69F5" w:rsidRPr="006D7721" w:rsidRDefault="000F69F5" w:rsidP="000F69F5">
      <w:pPr>
        <w:pStyle w:val="Header"/>
        <w:numPr>
          <w:ilvl w:val="0"/>
          <w:numId w:val="8"/>
        </w:numPr>
        <w:suppressAutoHyphens/>
        <w:spacing w:before="40" w:after="40"/>
        <w:ind w:right="63"/>
        <w:rPr>
          <w:sz w:val="20"/>
        </w:rPr>
      </w:pPr>
      <w:r w:rsidRPr="006D7721">
        <w:rPr>
          <w:sz w:val="20"/>
        </w:rPr>
        <w:t xml:space="preserve">Quick learner, ever learner, self-motivated </w:t>
      </w:r>
      <w:r>
        <w:rPr>
          <w:sz w:val="20"/>
        </w:rPr>
        <w:t>and</w:t>
      </w:r>
      <w:r w:rsidRPr="006D7721">
        <w:rPr>
          <w:sz w:val="20"/>
        </w:rPr>
        <w:t xml:space="preserve"> smart worker.</w:t>
      </w:r>
    </w:p>
    <w:p w:rsidR="000F69F5" w:rsidRPr="006D7721" w:rsidRDefault="000F69F5" w:rsidP="000F69F5">
      <w:pPr>
        <w:pStyle w:val="Header"/>
        <w:numPr>
          <w:ilvl w:val="0"/>
          <w:numId w:val="8"/>
        </w:numPr>
        <w:suppressAutoHyphens/>
        <w:spacing w:before="40" w:after="40"/>
        <w:ind w:right="63"/>
        <w:rPr>
          <w:sz w:val="20"/>
        </w:rPr>
      </w:pPr>
      <w:r w:rsidRPr="006D7721">
        <w:rPr>
          <w:sz w:val="20"/>
        </w:rPr>
        <w:t>Believe in Synergy.</w:t>
      </w:r>
    </w:p>
    <w:p w:rsidR="000F69F5" w:rsidRPr="006D7721" w:rsidRDefault="000F69F5" w:rsidP="000F69F5">
      <w:pPr>
        <w:pStyle w:val="Header"/>
        <w:numPr>
          <w:ilvl w:val="0"/>
          <w:numId w:val="8"/>
        </w:numPr>
        <w:suppressAutoHyphens/>
        <w:spacing w:before="40" w:after="40"/>
        <w:ind w:right="63"/>
        <w:rPr>
          <w:sz w:val="20"/>
        </w:rPr>
      </w:pPr>
      <w:r w:rsidRPr="006D7721">
        <w:rPr>
          <w:sz w:val="20"/>
        </w:rPr>
        <w:t>Flexible and adaptive in nature.</w:t>
      </w:r>
    </w:p>
    <w:p w:rsidR="000F69F5" w:rsidRPr="006D7721" w:rsidRDefault="000F69F5" w:rsidP="000F69F5">
      <w:pPr>
        <w:pStyle w:val="Header"/>
        <w:numPr>
          <w:ilvl w:val="0"/>
          <w:numId w:val="8"/>
        </w:numPr>
        <w:suppressAutoHyphens/>
        <w:spacing w:before="40" w:after="40"/>
        <w:ind w:right="63"/>
        <w:rPr>
          <w:sz w:val="20"/>
        </w:rPr>
      </w:pPr>
      <w:r w:rsidRPr="006D7721">
        <w:rPr>
          <w:sz w:val="20"/>
        </w:rPr>
        <w:t>Ready to accept any challenge in my profession.</w:t>
      </w:r>
    </w:p>
    <w:p w:rsidR="000F69F5" w:rsidRDefault="000F69F5" w:rsidP="000F69F5">
      <w:pPr>
        <w:pStyle w:val="Header"/>
        <w:numPr>
          <w:ilvl w:val="0"/>
          <w:numId w:val="8"/>
        </w:numPr>
        <w:suppressAutoHyphens/>
        <w:spacing w:before="40" w:after="40"/>
        <w:ind w:right="63"/>
        <w:rPr>
          <w:sz w:val="20"/>
        </w:rPr>
      </w:pPr>
      <w:r w:rsidRPr="006D7721">
        <w:rPr>
          <w:sz w:val="20"/>
        </w:rPr>
        <w:t>Have good interpersonal skills and work ethics.</w:t>
      </w:r>
    </w:p>
    <w:p w:rsidR="000D19B1" w:rsidRPr="008116C2" w:rsidRDefault="000D19B1" w:rsidP="0004391E">
      <w:pPr>
        <w:autoSpaceDE w:val="0"/>
        <w:autoSpaceDN w:val="0"/>
        <w:rPr>
          <w:sz w:val="18"/>
        </w:rPr>
      </w:pPr>
    </w:p>
    <w:p w:rsidR="000F69F5"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5935"/>
      </w:tblGrid>
      <w:tr w:rsidR="000F69F5" w:rsidRPr="00512A26" w:rsidTr="000E1A72">
        <w:trPr>
          <w:trHeight w:val="264"/>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Date of Birth</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29th October, 1991</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Nationality</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INDIAN</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Passport No.</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L2003564</w:t>
            </w:r>
          </w:p>
        </w:tc>
      </w:tr>
      <w:tr w:rsidR="000F69F5" w:rsidRPr="00512A26" w:rsidTr="000E1A72">
        <w:trPr>
          <w:trHeight w:val="503"/>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Present Address</w:t>
            </w:r>
          </w:p>
        </w:tc>
        <w:tc>
          <w:tcPr>
            <w:tcW w:w="252" w:type="dxa"/>
          </w:tcPr>
          <w:p w:rsidR="000F69F5" w:rsidRPr="008419AA" w:rsidRDefault="000F69F5" w:rsidP="00B06754">
            <w:pPr>
              <w:rPr>
                <w:rFonts w:ascii="Arial" w:hAnsi="Arial" w:cs="Arial"/>
                <w:b/>
                <w:lang w:eastAsia="ar-SA"/>
              </w:rPr>
            </w:pPr>
            <w:r w:rsidRPr="008419AA">
              <w:rPr>
                <w:rFonts w:ascii="Arial" w:hAnsi="Arial" w:cs="Arial"/>
                <w:b/>
                <w:lang w:eastAsia="ar-SA"/>
              </w:rPr>
              <w:t>:</w:t>
            </w:r>
          </w:p>
        </w:tc>
        <w:tc>
          <w:tcPr>
            <w:tcW w:w="5935" w:type="dxa"/>
          </w:tcPr>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Raj Cable Center, Samar Dey Sarani, Barowaritala, Krishnapur,</w:t>
            </w:r>
          </w:p>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Kolkata, West Bengal, INDIA, PIN - 700102</w:t>
            </w:r>
          </w:p>
        </w:tc>
      </w:tr>
      <w:tr w:rsidR="000F69F5" w:rsidRPr="00512A26" w:rsidTr="000E1A72">
        <w:trPr>
          <w:trHeight w:val="602"/>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Permanent Address</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c/o - Sri Ashok Moulik, Near Dulal Dighi, Adar Para,</w:t>
            </w:r>
          </w:p>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Jalpaiguri, West Bengal, INDIA, PIN - 735101</w:t>
            </w:r>
          </w:p>
        </w:tc>
      </w:tr>
      <w:tr w:rsidR="000F69F5" w:rsidRPr="00512A26" w:rsidTr="00A95498">
        <w:trPr>
          <w:trHeight w:val="360"/>
        </w:trPr>
        <w:tc>
          <w:tcPr>
            <w:tcW w:w="2898" w:type="dxa"/>
          </w:tcPr>
          <w:p w:rsidR="000F69F5" w:rsidRPr="008419AA" w:rsidRDefault="000F69F5" w:rsidP="000F69F5">
            <w:pPr>
              <w:pStyle w:val="Header"/>
              <w:numPr>
                <w:ilvl w:val="0"/>
                <w:numId w:val="9"/>
              </w:numPr>
              <w:suppressAutoHyphens/>
              <w:spacing w:before="40" w:after="40"/>
              <w:ind w:right="63"/>
              <w:rPr>
                <w:b/>
                <w:sz w:val="20"/>
              </w:rPr>
            </w:pPr>
            <w:r>
              <w:rPr>
                <w:b/>
                <w:sz w:val="20"/>
              </w:rPr>
              <w:t>Languages Known</w:t>
            </w:r>
          </w:p>
        </w:tc>
        <w:tc>
          <w:tcPr>
            <w:tcW w:w="252" w:type="dxa"/>
          </w:tcPr>
          <w:p w:rsidR="000F69F5" w:rsidRPr="008419AA" w:rsidRDefault="000F69F5" w:rsidP="00B06754">
            <w:pPr>
              <w:pStyle w:val="Header"/>
              <w:ind w:right="63"/>
              <w:rPr>
                <w:b/>
                <w:sz w:val="20"/>
              </w:rPr>
            </w:pPr>
            <w:r>
              <w:rPr>
                <w:b/>
                <w:sz w:val="20"/>
              </w:rPr>
              <w:t>:</w:t>
            </w:r>
          </w:p>
        </w:tc>
        <w:tc>
          <w:tcPr>
            <w:tcW w:w="5935" w:type="dxa"/>
          </w:tcPr>
          <w:p w:rsidR="003A7172" w:rsidRPr="00512A26" w:rsidRDefault="000F69F5" w:rsidP="00B06754">
            <w:pPr>
              <w:pStyle w:val="Header"/>
              <w:ind w:right="63"/>
              <w:rPr>
                <w:rFonts w:asciiTheme="majorHAnsi" w:hAnsiTheme="majorHAnsi"/>
                <w:sz w:val="20"/>
              </w:rPr>
            </w:pPr>
            <w:r>
              <w:rPr>
                <w:rFonts w:asciiTheme="majorHAnsi" w:hAnsiTheme="majorHAnsi"/>
                <w:sz w:val="20"/>
              </w:rPr>
              <w:t xml:space="preserve">English, </w:t>
            </w:r>
            <w:r w:rsidRPr="00512A26">
              <w:rPr>
                <w:rFonts w:asciiTheme="majorHAnsi" w:hAnsiTheme="majorHAnsi"/>
                <w:sz w:val="20"/>
              </w:rPr>
              <w:t>Bengali, Hindi</w:t>
            </w:r>
          </w:p>
        </w:tc>
      </w:tr>
      <w:tr w:rsidR="006E22F7" w:rsidRPr="00512A26" w:rsidTr="000E1A72">
        <w:trPr>
          <w:trHeight w:val="251"/>
        </w:trPr>
        <w:tc>
          <w:tcPr>
            <w:tcW w:w="2898" w:type="dxa"/>
          </w:tcPr>
          <w:p w:rsidR="006E22F7" w:rsidRDefault="006E22F7" w:rsidP="000F69F5">
            <w:pPr>
              <w:pStyle w:val="Header"/>
              <w:numPr>
                <w:ilvl w:val="0"/>
                <w:numId w:val="9"/>
              </w:numPr>
              <w:suppressAutoHyphens/>
              <w:spacing w:before="40" w:after="40"/>
              <w:ind w:right="63"/>
              <w:rPr>
                <w:b/>
                <w:sz w:val="20"/>
              </w:rPr>
            </w:pPr>
            <w:r>
              <w:rPr>
                <w:b/>
                <w:sz w:val="20"/>
              </w:rPr>
              <w:t xml:space="preserve">Personal </w:t>
            </w:r>
            <w:r w:rsidRPr="006E22F7">
              <w:rPr>
                <w:b/>
                <w:sz w:val="20"/>
              </w:rPr>
              <w:t>Website</w:t>
            </w:r>
          </w:p>
        </w:tc>
        <w:tc>
          <w:tcPr>
            <w:tcW w:w="252" w:type="dxa"/>
          </w:tcPr>
          <w:p w:rsidR="006E22F7" w:rsidRDefault="006E22F7" w:rsidP="00B06754">
            <w:pPr>
              <w:pStyle w:val="Header"/>
              <w:ind w:right="63"/>
              <w:rPr>
                <w:b/>
                <w:sz w:val="20"/>
              </w:rPr>
            </w:pPr>
            <w:r>
              <w:rPr>
                <w:b/>
                <w:sz w:val="20"/>
              </w:rPr>
              <w:t>:</w:t>
            </w:r>
          </w:p>
        </w:tc>
        <w:tc>
          <w:tcPr>
            <w:tcW w:w="5935" w:type="dxa"/>
          </w:tcPr>
          <w:p w:rsidR="006E22F7" w:rsidRDefault="007A5BAD" w:rsidP="00B06754">
            <w:pPr>
              <w:pStyle w:val="Header"/>
              <w:ind w:right="63"/>
              <w:rPr>
                <w:rFonts w:asciiTheme="majorHAnsi" w:hAnsiTheme="majorHAnsi"/>
                <w:sz w:val="20"/>
              </w:rPr>
            </w:pPr>
            <w:hyperlink r:id="rId19" w:history="1">
              <w:r w:rsidR="006E22F7" w:rsidRPr="00541222">
                <w:rPr>
                  <w:rStyle w:val="Hyperlink"/>
                </w:rPr>
                <w:t>https://bibekmoulik.github.io/welcome</w:t>
              </w:r>
            </w:hyperlink>
          </w:p>
        </w:tc>
      </w:tr>
    </w:tbl>
    <w:p w:rsidR="008116C2" w:rsidRPr="008116C2" w:rsidRDefault="008116C2" w:rsidP="0004391E">
      <w:pPr>
        <w:autoSpaceDE w:val="0"/>
        <w:autoSpaceDN w:val="0"/>
        <w:rPr>
          <w:sz w:val="18"/>
        </w:rPr>
      </w:pPr>
    </w:p>
    <w:p w:rsidR="007130C6"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Declaration</w:t>
      </w:r>
    </w:p>
    <w:p w:rsidR="000F69F5" w:rsidRDefault="000F69F5" w:rsidP="000F69F5">
      <w:pPr>
        <w:ind w:firstLine="720"/>
        <w:rPr>
          <w:rFonts w:ascii="Arial" w:hAnsi="Arial" w:cs="Arial"/>
          <w:lang w:eastAsia="ar-SA"/>
        </w:rPr>
      </w:pPr>
      <w:r w:rsidRPr="00C072E6">
        <w:rPr>
          <w:rFonts w:ascii="Arial" w:hAnsi="Arial" w:cs="Arial"/>
          <w:lang w:eastAsia="ar-SA"/>
        </w:rPr>
        <w:t>I do hereby declare that all the statements furnished above are true, complete and correct to the best of my knowledge and belief and I have the potential to accomplish any type of work assigned to me under any circumstances.</w:t>
      </w:r>
    </w:p>
    <w:p w:rsidR="000F69F5" w:rsidRDefault="000F69F5" w:rsidP="000F69F5">
      <w:pPr>
        <w:rPr>
          <w:rFonts w:ascii="Arial" w:hAnsi="Arial" w:cs="Arial"/>
          <w:lang w:eastAsia="ar-SA"/>
        </w:rPr>
      </w:pPr>
    </w:p>
    <w:p w:rsidR="00A60BBD" w:rsidRDefault="00A60BBD" w:rsidP="000F69F5">
      <w:pPr>
        <w:rPr>
          <w:rFonts w:ascii="Arial" w:hAnsi="Arial" w:cs="Arial"/>
          <w:lang w:eastAsia="ar-SA"/>
        </w:rPr>
      </w:pPr>
    </w:p>
    <w:p w:rsidR="000F69F5" w:rsidRDefault="000F69F5" w:rsidP="000F69F5">
      <w:pPr>
        <w:rPr>
          <w:rFonts w:ascii="Arial" w:hAnsi="Arial" w:cs="Arial"/>
          <w:lang w:eastAsia="ar-SA"/>
        </w:rPr>
      </w:pPr>
    </w:p>
    <w:p w:rsidR="000F69F5" w:rsidRDefault="000F69F5" w:rsidP="000F69F5">
      <w:pPr>
        <w:rPr>
          <w:rFonts w:ascii="Arial" w:hAnsi="Arial" w:cs="Arial"/>
          <w:lang w:eastAsia="ar-SA"/>
        </w:rPr>
      </w:pPr>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bookmarkStart w:id="0" w:name="_GoBack"/>
      <w:bookmarkEnd w:id="0"/>
    </w:p>
    <w:p w:rsidR="000F69F5" w:rsidRPr="00C072E6" w:rsidRDefault="000F69F5" w:rsidP="000F69F5">
      <w:pPr>
        <w:rPr>
          <w:rFonts w:ascii="Arial" w:hAnsi="Arial" w:cs="Arial"/>
          <w:lang w:eastAsia="ar-SA"/>
        </w:rPr>
      </w:pPr>
    </w:p>
    <w:p w:rsidR="000F69F5" w:rsidRPr="00181670" w:rsidRDefault="000F69F5" w:rsidP="000F69F5">
      <w:pPr>
        <w:rPr>
          <w:rFonts w:ascii="Cambria" w:hAnsi="Cambria"/>
          <w:szCs w:val="32"/>
        </w:rPr>
      </w:pPr>
      <w:r>
        <w:rPr>
          <w:rFonts w:ascii="Cambria" w:hAnsi="Cambria"/>
          <w:szCs w:val="32"/>
        </w:rPr>
        <w:t>Date</w:t>
      </w:r>
      <w:r w:rsidRPr="00181670">
        <w:rPr>
          <w:rFonts w:ascii="Cambria" w:hAnsi="Cambria"/>
          <w:szCs w:val="32"/>
        </w:rPr>
        <w:t xml:space="preserve">:      </w:t>
      </w:r>
      <w:r w:rsidR="00767252">
        <w:rPr>
          <w:rFonts w:ascii="Cambria" w:hAnsi="Cambria"/>
          <w:szCs w:val="32"/>
        </w:rPr>
        <w:t>0</w:t>
      </w:r>
      <w:r w:rsidR="0077089E">
        <w:rPr>
          <w:rFonts w:ascii="Cambria" w:hAnsi="Cambria"/>
          <w:szCs w:val="32"/>
        </w:rPr>
        <w:t>4</w:t>
      </w:r>
      <w:r>
        <w:rPr>
          <w:rFonts w:ascii="Cambria" w:hAnsi="Cambria"/>
          <w:szCs w:val="32"/>
        </w:rPr>
        <w:t>/</w:t>
      </w:r>
      <w:r w:rsidR="0077089E">
        <w:rPr>
          <w:rFonts w:ascii="Cambria" w:hAnsi="Cambria"/>
          <w:szCs w:val="32"/>
        </w:rPr>
        <w:t>26</w:t>
      </w:r>
      <w:r>
        <w:rPr>
          <w:rFonts w:ascii="Cambria" w:hAnsi="Cambria"/>
          <w:szCs w:val="32"/>
        </w:rPr>
        <w:t>/201</w:t>
      </w:r>
      <w:r w:rsidR="0077089E">
        <w:rPr>
          <w:rFonts w:ascii="Cambria" w:hAnsi="Cambria"/>
          <w:szCs w:val="32"/>
        </w:rPr>
        <w:t>8</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sidRPr="00181670">
        <w:rPr>
          <w:rFonts w:ascii="Cambria" w:hAnsi="Cambria"/>
          <w:szCs w:val="32"/>
          <w:u w:val="single"/>
        </w:rPr>
        <w:t xml:space="preserve">                                                        </w:t>
      </w:r>
      <w:r w:rsidR="00071082" w:rsidRPr="00181670">
        <w:rPr>
          <w:rFonts w:ascii="Cambria" w:hAnsi="Cambria"/>
          <w:szCs w:val="32"/>
          <w:u w:val="single"/>
        </w:rPr>
        <w:t xml:space="preserve"> .</w:t>
      </w:r>
      <w:r w:rsidRPr="00181670">
        <w:rPr>
          <w:rFonts w:ascii="Cambria" w:hAnsi="Cambria"/>
          <w:szCs w:val="32"/>
        </w:rPr>
        <w:t xml:space="preserve">  </w:t>
      </w:r>
    </w:p>
    <w:p w:rsidR="000F69F5" w:rsidRPr="00A36EB5" w:rsidRDefault="000F69F5" w:rsidP="000F69F5">
      <w:pPr>
        <w:rPr>
          <w:rFonts w:ascii="Cambria" w:hAnsi="Cambria"/>
          <w:szCs w:val="32"/>
        </w:rPr>
      </w:pPr>
      <w:r w:rsidRPr="00181670">
        <w:rPr>
          <w:rFonts w:ascii="Cambria" w:hAnsi="Cambria"/>
          <w:szCs w:val="32"/>
        </w:rPr>
        <w:t xml:space="preserve">Place:     </w:t>
      </w:r>
      <w:r>
        <w:rPr>
          <w:rFonts w:ascii="Cambria" w:hAnsi="Cambria"/>
          <w:szCs w:val="32"/>
        </w:rPr>
        <w:t xml:space="preserve">Kolkata, India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(Bibek Moulik)</w:t>
      </w:r>
    </w:p>
    <w:sectPr w:rsidR="000F69F5" w:rsidRPr="00A36EB5" w:rsidSect="003C140A">
      <w:headerReference w:type="default"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BAD" w:rsidRDefault="007A5BAD" w:rsidP="007130C6">
      <w:r>
        <w:separator/>
      </w:r>
    </w:p>
  </w:endnote>
  <w:endnote w:type="continuationSeparator" w:id="0">
    <w:p w:rsidR="007A5BAD" w:rsidRDefault="007A5BAD" w:rsidP="0071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pPr>
      <w:pStyle w:val="Footer"/>
      <w:jc w:val="center"/>
    </w:pPr>
    <w:r>
      <w:fldChar w:fldCharType="begin"/>
    </w:r>
    <w:r>
      <w:instrText xml:space="preserve"> PAGE   \* MERGEFORMAT </w:instrText>
    </w:r>
    <w:r>
      <w:fldChar w:fldCharType="separate"/>
    </w:r>
    <w:r w:rsidR="00C24487">
      <w:rPr>
        <w:noProof/>
      </w:rPr>
      <w:t>9</w:t>
    </w:r>
    <w:r>
      <w:fldChar w:fldCharType="end"/>
    </w:r>
    <w:r>
      <w:t xml:space="preserve"> of </w:t>
    </w:r>
    <w:r w:rsidR="007A5BAD">
      <w:fldChar w:fldCharType="begin"/>
    </w:r>
    <w:r w:rsidR="007A5BAD">
      <w:instrText xml:space="preserve"> NUMPAGES  \* Arabic  \* MERGEFORMAT </w:instrText>
    </w:r>
    <w:r w:rsidR="007A5BAD">
      <w:fldChar w:fldCharType="separate"/>
    </w:r>
    <w:r w:rsidR="00C24487">
      <w:rPr>
        <w:noProof/>
      </w:rPr>
      <w:t>9</w:t>
    </w:r>
    <w:r w:rsidR="007A5BAD">
      <w:rPr>
        <w:noProof/>
      </w:rPr>
      <w:fldChar w:fldCharType="end"/>
    </w:r>
  </w:p>
  <w:p w:rsidR="00F04598" w:rsidRDefault="00F04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BAD" w:rsidRDefault="007A5BAD" w:rsidP="007130C6">
      <w:r>
        <w:separator/>
      </w:r>
    </w:p>
  </w:footnote>
  <w:footnote w:type="continuationSeparator" w:id="0">
    <w:p w:rsidR="007A5BAD" w:rsidRDefault="007A5BAD" w:rsidP="0071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rsidP="00B06754">
    <w:pPr>
      <w:pStyle w:val="Header"/>
      <w:tabs>
        <w:tab w:val="clear" w:pos="8640"/>
      </w:tabs>
      <w:rPr>
        <w:b/>
        <w:iCs/>
        <w:color w:val="002060"/>
        <w:sz w:val="40"/>
        <w:szCs w:val="40"/>
      </w:rPr>
    </w:pPr>
    <w:r w:rsidRPr="00F15577">
      <w:rPr>
        <w:iCs/>
        <w:noProof/>
        <w:color w:val="548DD4"/>
        <w:lang w:val="en-US"/>
      </w:rPr>
      <mc:AlternateContent>
        <mc:Choice Requires="wps">
          <w:drawing>
            <wp:anchor distT="0" distB="0" distL="114300" distR="114300" simplePos="0" relativeHeight="251659264" behindDoc="0" locked="0" layoutInCell="1" allowOverlap="1" wp14:editId="36B11C9B">
              <wp:simplePos x="0" y="0"/>
              <wp:positionH relativeFrom="column">
                <wp:posOffset>2190750</wp:posOffset>
              </wp:positionH>
              <wp:positionV relativeFrom="paragraph">
                <wp:posOffset>-85725</wp:posOffset>
              </wp:positionV>
              <wp:extent cx="23050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3985"/>
                      </a:xfrm>
                      <a:prstGeom prst="rect">
                        <a:avLst/>
                      </a:prstGeom>
                      <a:noFill/>
                      <a:ln w="9525">
                        <a:noFill/>
                        <a:miter lim="800000"/>
                        <a:headEnd/>
                        <a:tailEnd/>
                      </a:ln>
                    </wps:spPr>
                    <wps:txbx>
                      <w:txbxContent>
                        <w:p w:rsidR="00F04598" w:rsidRPr="00F15577" w:rsidRDefault="00F04598">
                          <w:pPr>
                            <w:rPr>
                              <w:b/>
                              <w:color w:val="002060"/>
                              <w:sz w:val="40"/>
                            </w:rPr>
                          </w:pPr>
                          <w:r w:rsidRPr="00F15577">
                            <w:rPr>
                              <w:b/>
                              <w:color w:val="002060"/>
                              <w:sz w:val="40"/>
                            </w:rPr>
                            <w:t>BIBEK MOULIK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5pt;margin-top:-6.75pt;width:18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" filled="f" stroked="f">
              <v:textbox style="mso-fit-shape-to-text:t">
                <w:txbxContent>
                  <w:p w:rsidR="00F04598" w:rsidRPr="00F15577" w:rsidRDefault="00F04598">
                    <w:pPr>
                      <w:rPr>
                        <w:b/>
                        <w:color w:val="002060"/>
                        <w:sz w:val="40"/>
                      </w:rPr>
                    </w:pPr>
                    <w:r w:rsidRPr="00F15577">
                      <w:rPr>
                        <w:b/>
                        <w:color w:val="002060"/>
                        <w:sz w:val="40"/>
                      </w:rPr>
                      <w:t>BIBEK MOULIK</w:t>
                    </w:r>
                  </w:p>
                </w:txbxContent>
              </v:textbox>
            </v:shape>
          </w:pict>
        </mc:Fallback>
      </mc:AlternateContent>
    </w:r>
    <w:r w:rsidRPr="00096D23">
      <w:rPr>
        <w:b/>
        <w:noProof/>
        <w:color w:val="00B050"/>
        <w:lang w:val="en-US"/>
      </w:rPr>
      <w:drawing>
        <wp:anchor distT="0" distB="0" distL="114300" distR="114300" simplePos="0" relativeHeight="251656192" behindDoc="0" locked="0" layoutInCell="0" allowOverlap="1" wp14:anchorId="38003F4B" wp14:editId="7C890519">
          <wp:simplePos x="0" y="0"/>
          <wp:positionH relativeFrom="column">
            <wp:posOffset>6139815</wp:posOffset>
          </wp:positionH>
          <wp:positionV relativeFrom="paragraph">
            <wp:posOffset>-220345</wp:posOffset>
          </wp:positionV>
          <wp:extent cx="451485" cy="664210"/>
          <wp:effectExtent l="0" t="0" r="571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664210"/>
                  </a:xfrm>
                  <a:prstGeom prst="rect">
                    <a:avLst/>
                  </a:prstGeom>
                  <a:noFill/>
                </pic:spPr>
              </pic:pic>
            </a:graphicData>
          </a:graphic>
        </wp:anchor>
      </w:drawing>
    </w:r>
    <w:r w:rsidRPr="00F15577">
      <w:rPr>
        <w:b/>
        <w:iCs/>
        <w:noProof/>
        <w:color w:val="00B050"/>
        <w:lang w:val="en-US"/>
      </w:rPr>
      <mc:AlternateContent>
        <mc:Choice Requires="wps">
          <w:drawing>
            <wp:anchor distT="0" distB="0" distL="114300" distR="114300" simplePos="0" relativeHeight="251658240" behindDoc="0" locked="0" layoutInCell="1" allowOverlap="1" wp14:anchorId="2F957CA8" wp14:editId="14DBF427">
              <wp:simplePos x="0" y="0"/>
              <wp:positionH relativeFrom="column">
                <wp:posOffset>-219075</wp:posOffset>
              </wp:positionH>
              <wp:positionV relativeFrom="paragraph">
                <wp:posOffset>-219076</wp:posOffset>
              </wp:positionV>
              <wp:extent cx="1543050" cy="7715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71525"/>
                      </a:xfrm>
                      <a:prstGeom prst="rect">
                        <a:avLst/>
                      </a:prstGeom>
                      <a:solidFill>
                        <a:srgbClr val="FFFFFF"/>
                      </a:solidFill>
                      <a:ln w="9525">
                        <a:noFill/>
                        <a:miter lim="800000"/>
                        <a:headEnd/>
                        <a:tailEnd/>
                      </a:ln>
                    </wps:spPr>
                    <wps:txb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7CA8" id="_x0000_s1027" type="#_x0000_t202" style="position:absolute;left:0;text-align:left;margin-left:-17.25pt;margin-top:-17.25pt;width:121.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" stroked="f">
              <v:textbo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v:textbox>
            </v:shape>
          </w:pict>
        </mc:Fallback>
      </mc:AlternateContent>
    </w:r>
    <w:r>
      <w:rPr>
        <w:iCs/>
        <w:color w:val="548DD4"/>
      </w:rPr>
      <w:t xml:space="preserve">                                             </w:t>
    </w:r>
  </w:p>
  <w:p w:rsidR="00F04598" w:rsidRDefault="00F04598" w:rsidP="00F15577">
    <w:pPr>
      <w:pStyle w:val="Header"/>
      <w:tabs>
        <w:tab w:val="clear" w:pos="4320"/>
        <w:tab w:val="clear" w:pos="8640"/>
        <w:tab w:val="left" w:pos="7590"/>
      </w:tabs>
      <w:rPr>
        <w:b/>
        <w:iCs/>
        <w:color w:val="002060"/>
        <w:sz w:val="40"/>
        <w:szCs w:val="40"/>
      </w:rPr>
    </w:pPr>
    <w:r>
      <w:rPr>
        <w:b/>
        <w:iCs/>
        <w:color w:val="002060"/>
        <w:sz w:val="40"/>
        <w:szCs w:val="40"/>
      </w:rPr>
      <w:tab/>
    </w:r>
  </w:p>
  <w:p w:rsidR="00F04598" w:rsidRPr="00832137" w:rsidRDefault="00F04598" w:rsidP="00B06754">
    <w:pPr>
      <w:pStyle w:val="Header"/>
      <w:tabs>
        <w:tab w:val="clear" w:pos="8640"/>
      </w:tabs>
      <w:rPr>
        <w:iCs/>
        <w:color w:val="548DD4"/>
      </w:rPr>
    </w:pPr>
    <w:r w:rsidRPr="00832137">
      <w:rPr>
        <w:iCs/>
        <w:noProof/>
        <w:color w:val="7030A0"/>
        <w:lang w:val="en-US"/>
      </w:rPr>
      <mc:AlternateContent>
        <mc:Choice Requires="wps">
          <w:drawing>
            <wp:anchor distT="0" distB="0" distL="114300" distR="114300" simplePos="0" relativeHeight="251657216" behindDoc="0" locked="0" layoutInCell="1" allowOverlap="1" wp14:anchorId="55323BB5" wp14:editId="032969CC">
              <wp:simplePos x="0" y="0"/>
              <wp:positionH relativeFrom="column">
                <wp:posOffset>-219076</wp:posOffset>
              </wp:positionH>
              <wp:positionV relativeFrom="paragraph">
                <wp:posOffset>25400</wp:posOffset>
              </wp:positionV>
              <wp:extent cx="6905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90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A4D18"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25pt,2pt" to="52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25C2C"/>
    <w:multiLevelType w:val="hybridMultilevel"/>
    <w:tmpl w:val="8C2E2D6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237D5"/>
    <w:multiLevelType w:val="hybridMultilevel"/>
    <w:tmpl w:val="18AA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3C5B"/>
    <w:multiLevelType w:val="hybridMultilevel"/>
    <w:tmpl w:val="0A3E3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E6904"/>
    <w:multiLevelType w:val="hybridMultilevel"/>
    <w:tmpl w:val="2CB4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9029A8"/>
    <w:multiLevelType w:val="hybridMultilevel"/>
    <w:tmpl w:val="8A206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14D90"/>
    <w:multiLevelType w:val="hybridMultilevel"/>
    <w:tmpl w:val="E96C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66DAF"/>
    <w:multiLevelType w:val="hybridMultilevel"/>
    <w:tmpl w:val="23CCA9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D71"/>
    <w:multiLevelType w:val="multilevel"/>
    <w:tmpl w:val="B25AD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6689A"/>
    <w:multiLevelType w:val="hybridMultilevel"/>
    <w:tmpl w:val="D3389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F199A"/>
    <w:multiLevelType w:val="multilevel"/>
    <w:tmpl w:val="AADC4FD2"/>
    <w:lvl w:ilvl="0">
      <w:start w:val="1"/>
      <w:numFmt w:val="decimal"/>
      <w:lvlText w:val="%1."/>
      <w:lvlJc w:val="left"/>
      <w:pPr>
        <w:ind w:left="36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2BC5593"/>
    <w:multiLevelType w:val="hybridMultilevel"/>
    <w:tmpl w:val="B0948BDE"/>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3205643"/>
    <w:multiLevelType w:val="hybridMultilevel"/>
    <w:tmpl w:val="028AAB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15AAB"/>
    <w:multiLevelType w:val="hybridMultilevel"/>
    <w:tmpl w:val="6B4A51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F0631C"/>
    <w:multiLevelType w:val="hybridMultilevel"/>
    <w:tmpl w:val="0660F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11"/>
  </w:num>
  <w:num w:numId="5">
    <w:abstractNumId w:val="10"/>
  </w:num>
  <w:num w:numId="6">
    <w:abstractNumId w:val="17"/>
  </w:num>
  <w:num w:numId="7">
    <w:abstractNumId w:val="4"/>
  </w:num>
  <w:num w:numId="8">
    <w:abstractNumId w:val="16"/>
  </w:num>
  <w:num w:numId="9">
    <w:abstractNumId w:val="5"/>
  </w:num>
  <w:num w:numId="10">
    <w:abstractNumId w:val="2"/>
  </w:num>
  <w:num w:numId="11">
    <w:abstractNumId w:val="8"/>
  </w:num>
  <w:num w:numId="12">
    <w:abstractNumId w:val="3"/>
  </w:num>
  <w:num w:numId="13">
    <w:abstractNumId w:val="13"/>
  </w:num>
  <w:num w:numId="14">
    <w:abstractNumId w:val="7"/>
  </w:num>
  <w:num w:numId="15">
    <w:abstractNumId w:val="6"/>
  </w:num>
  <w:num w:numId="16">
    <w:abstractNumId w:val="0"/>
  </w:num>
  <w:num w:numId="17">
    <w:abstractNumId w:val="19"/>
  </w:num>
  <w:num w:numId="18">
    <w:abstractNumId w:val="12"/>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C6"/>
    <w:rsid w:val="0001727A"/>
    <w:rsid w:val="00042CC3"/>
    <w:rsid w:val="0004391E"/>
    <w:rsid w:val="00066BDC"/>
    <w:rsid w:val="00071082"/>
    <w:rsid w:val="00082163"/>
    <w:rsid w:val="00096D23"/>
    <w:rsid w:val="000C59CB"/>
    <w:rsid w:val="000D19B1"/>
    <w:rsid w:val="000E1A72"/>
    <w:rsid w:val="000E510C"/>
    <w:rsid w:val="000E53AB"/>
    <w:rsid w:val="000F69F5"/>
    <w:rsid w:val="0011595D"/>
    <w:rsid w:val="0015088A"/>
    <w:rsid w:val="00160274"/>
    <w:rsid w:val="001B54E6"/>
    <w:rsid w:val="001F2581"/>
    <w:rsid w:val="00234053"/>
    <w:rsid w:val="00254D0B"/>
    <w:rsid w:val="00256653"/>
    <w:rsid w:val="002A6CD8"/>
    <w:rsid w:val="002B1741"/>
    <w:rsid w:val="002E2891"/>
    <w:rsid w:val="00323BD3"/>
    <w:rsid w:val="0035705C"/>
    <w:rsid w:val="00357371"/>
    <w:rsid w:val="00374403"/>
    <w:rsid w:val="0037658A"/>
    <w:rsid w:val="003A7172"/>
    <w:rsid w:val="003A7672"/>
    <w:rsid w:val="003C140A"/>
    <w:rsid w:val="003E24D7"/>
    <w:rsid w:val="00414FA5"/>
    <w:rsid w:val="0047568C"/>
    <w:rsid w:val="004D6D9D"/>
    <w:rsid w:val="004F1514"/>
    <w:rsid w:val="005040D9"/>
    <w:rsid w:val="00577EEE"/>
    <w:rsid w:val="00593547"/>
    <w:rsid w:val="005A2B99"/>
    <w:rsid w:val="005C7F32"/>
    <w:rsid w:val="005E4974"/>
    <w:rsid w:val="005F7AC4"/>
    <w:rsid w:val="006224A0"/>
    <w:rsid w:val="0067571C"/>
    <w:rsid w:val="006A5FE9"/>
    <w:rsid w:val="006E22F7"/>
    <w:rsid w:val="006E3208"/>
    <w:rsid w:val="006F045F"/>
    <w:rsid w:val="007130C6"/>
    <w:rsid w:val="00725A29"/>
    <w:rsid w:val="00733987"/>
    <w:rsid w:val="0075513A"/>
    <w:rsid w:val="00760A48"/>
    <w:rsid w:val="00764C7D"/>
    <w:rsid w:val="00767252"/>
    <w:rsid w:val="0077089E"/>
    <w:rsid w:val="007A5BAD"/>
    <w:rsid w:val="008116C2"/>
    <w:rsid w:val="00832137"/>
    <w:rsid w:val="008647A7"/>
    <w:rsid w:val="008C490F"/>
    <w:rsid w:val="008F29FC"/>
    <w:rsid w:val="0091145C"/>
    <w:rsid w:val="00936656"/>
    <w:rsid w:val="0096000F"/>
    <w:rsid w:val="00981AC1"/>
    <w:rsid w:val="009A5A0E"/>
    <w:rsid w:val="009B37F9"/>
    <w:rsid w:val="009F2F80"/>
    <w:rsid w:val="00A264D4"/>
    <w:rsid w:val="00A60BBD"/>
    <w:rsid w:val="00A60C75"/>
    <w:rsid w:val="00A76560"/>
    <w:rsid w:val="00A95498"/>
    <w:rsid w:val="00AA2E03"/>
    <w:rsid w:val="00AC44A0"/>
    <w:rsid w:val="00AF59E5"/>
    <w:rsid w:val="00AF6DBD"/>
    <w:rsid w:val="00B06754"/>
    <w:rsid w:val="00B50E59"/>
    <w:rsid w:val="00B57116"/>
    <w:rsid w:val="00B671C7"/>
    <w:rsid w:val="00BB0D35"/>
    <w:rsid w:val="00BB4E5D"/>
    <w:rsid w:val="00C24487"/>
    <w:rsid w:val="00C578E6"/>
    <w:rsid w:val="00C82280"/>
    <w:rsid w:val="00C82E14"/>
    <w:rsid w:val="00CA1808"/>
    <w:rsid w:val="00CD6274"/>
    <w:rsid w:val="00CD79FB"/>
    <w:rsid w:val="00CF6F38"/>
    <w:rsid w:val="00D12152"/>
    <w:rsid w:val="00D62C3D"/>
    <w:rsid w:val="00D74A71"/>
    <w:rsid w:val="00D9237C"/>
    <w:rsid w:val="00DE6AAF"/>
    <w:rsid w:val="00E126B6"/>
    <w:rsid w:val="00E265EE"/>
    <w:rsid w:val="00E43E09"/>
    <w:rsid w:val="00E66D28"/>
    <w:rsid w:val="00E71274"/>
    <w:rsid w:val="00E71BDE"/>
    <w:rsid w:val="00E74D2A"/>
    <w:rsid w:val="00EB2311"/>
    <w:rsid w:val="00ED1156"/>
    <w:rsid w:val="00F04598"/>
    <w:rsid w:val="00F15577"/>
    <w:rsid w:val="00F4115D"/>
    <w:rsid w:val="00F5466E"/>
    <w:rsid w:val="00F62146"/>
    <w:rsid w:val="00F96669"/>
    <w:rsid w:val="00F9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1A5A8"/>
  <w15:docId w15:val="{5AE401AB-44EF-45D3-9654-3529D671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C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qFormat/>
    <w:rsid w:val="007130C6"/>
    <w:pPr>
      <w:keepNext/>
      <w:jc w:val="both"/>
      <w:outlineLvl w:val="0"/>
    </w:pPr>
    <w:rPr>
      <w:rFonts w:ascii="Arial" w:hAnsi="Arial" w:cs="Arial"/>
      <w:b/>
      <w:bCs/>
      <w:smallCaps/>
      <w:sz w:val="22"/>
      <w:szCs w:val="22"/>
    </w:rPr>
  </w:style>
  <w:style w:type="paragraph" w:styleId="Heading2">
    <w:name w:val="heading 2"/>
    <w:basedOn w:val="Normal"/>
    <w:next w:val="Normal"/>
    <w:link w:val="Heading2Char"/>
    <w:uiPriority w:val="99"/>
    <w:qFormat/>
    <w:rsid w:val="007130C6"/>
    <w:pPr>
      <w:keepNext/>
      <w:spacing w:before="240" w:after="60"/>
      <w:jc w:val="both"/>
      <w:outlineLvl w:val="1"/>
    </w:pPr>
    <w:rPr>
      <w:rFonts w:ascii="Arial" w:hAnsi="Arial" w:cs="Arial"/>
      <w:b/>
      <w:bCs/>
      <w:i/>
      <w:iCs/>
      <w:sz w:val="22"/>
      <w:szCs w:val="22"/>
    </w:rPr>
  </w:style>
  <w:style w:type="paragraph" w:styleId="Heading3">
    <w:name w:val="heading 3"/>
    <w:basedOn w:val="Normal"/>
    <w:next w:val="Normal"/>
    <w:link w:val="Heading3Char"/>
    <w:uiPriority w:val="9"/>
    <w:semiHidden/>
    <w:unhideWhenUsed/>
    <w:qFormat/>
    <w:rsid w:val="007130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130C6"/>
    <w:rPr>
      <w:rFonts w:ascii="Arial" w:eastAsia="Times New Roman" w:hAnsi="Arial" w:cs="Arial"/>
      <w:b/>
      <w:bCs/>
      <w:smallCaps/>
      <w:lang w:val="en-GB"/>
    </w:rPr>
  </w:style>
  <w:style w:type="character" w:customStyle="1" w:styleId="Heading2Char">
    <w:name w:val="Heading 2 Char"/>
    <w:basedOn w:val="DefaultParagraphFont"/>
    <w:link w:val="Heading2"/>
    <w:uiPriority w:val="99"/>
    <w:rsid w:val="007130C6"/>
    <w:rPr>
      <w:rFonts w:ascii="Arial" w:eastAsia="Times New Roman" w:hAnsi="Arial" w:cs="Arial"/>
      <w:b/>
      <w:bCs/>
      <w:i/>
      <w:iCs/>
      <w:lang w:val="en-GB"/>
    </w:rPr>
  </w:style>
  <w:style w:type="paragraph" w:customStyle="1" w:styleId="kpmgbody">
    <w:name w:val="kpmgbody"/>
    <w:basedOn w:val="BodyText"/>
    <w:uiPriority w:val="99"/>
    <w:rsid w:val="007130C6"/>
    <w:pPr>
      <w:spacing w:before="40" w:after="40" w:line="360" w:lineRule="auto"/>
      <w:jc w:val="both"/>
    </w:pPr>
    <w:rPr>
      <w:rFonts w:ascii="Century Gothic" w:hAnsi="Century Gothic" w:cs="Century Gothic"/>
      <w:b/>
      <w:bCs/>
      <w:sz w:val="22"/>
      <w:szCs w:val="22"/>
    </w:rPr>
  </w:style>
  <w:style w:type="paragraph" w:styleId="Header">
    <w:name w:val="header"/>
    <w:basedOn w:val="Normal"/>
    <w:link w:val="HeaderChar"/>
    <w:rsid w:val="007130C6"/>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7130C6"/>
    <w:rPr>
      <w:rFonts w:ascii="Arial" w:eastAsia="Times New Roman" w:hAnsi="Arial" w:cs="Arial"/>
      <w:lang w:val="en-GB"/>
    </w:rPr>
  </w:style>
  <w:style w:type="paragraph" w:styleId="Footer">
    <w:name w:val="footer"/>
    <w:basedOn w:val="Normal"/>
    <w:link w:val="FooterChar"/>
    <w:uiPriority w:val="99"/>
    <w:rsid w:val="007130C6"/>
    <w:pPr>
      <w:tabs>
        <w:tab w:val="center" w:pos="4680"/>
        <w:tab w:val="right" w:pos="9360"/>
      </w:tabs>
    </w:pPr>
  </w:style>
  <w:style w:type="character" w:customStyle="1" w:styleId="FooterChar">
    <w:name w:val="Footer Char"/>
    <w:basedOn w:val="DefaultParagraphFont"/>
    <w:link w:val="Footer"/>
    <w:uiPriority w:val="99"/>
    <w:rsid w:val="007130C6"/>
    <w:rPr>
      <w:rFonts w:ascii="Times New Roman" w:eastAsia="Times New Roman" w:hAnsi="Times New Roman" w:cs="Times New Roman"/>
      <w:sz w:val="20"/>
      <w:szCs w:val="20"/>
      <w:lang w:val="en-GB"/>
    </w:rPr>
  </w:style>
  <w:style w:type="paragraph" w:customStyle="1" w:styleId="Cog-H3a">
    <w:name w:val="Cog-H3a"/>
    <w:basedOn w:val="Heading3"/>
    <w:uiPriority w:val="99"/>
    <w:rsid w:val="007130C6"/>
    <w:pPr>
      <w:keepLines w:val="0"/>
      <w:spacing w:before="120" w:after="120" w:line="240" w:lineRule="atLeast"/>
    </w:pPr>
    <w:rPr>
      <w:rFonts w:ascii="Arial" w:eastAsia="Times New Roman" w:hAnsi="Arial" w:cs="Arial"/>
      <w:color w:val="000080"/>
      <w:sz w:val="22"/>
      <w:szCs w:val="22"/>
    </w:rPr>
  </w:style>
  <w:style w:type="paragraph" w:customStyle="1" w:styleId="Cog-body">
    <w:name w:val="Cog-body"/>
    <w:basedOn w:val="Normal"/>
    <w:link w:val="Cog-bodyChar"/>
    <w:rsid w:val="007130C6"/>
    <w:pPr>
      <w:keepNext/>
      <w:spacing w:before="60" w:after="60" w:line="260" w:lineRule="atLeast"/>
      <w:ind w:left="720"/>
      <w:jc w:val="both"/>
    </w:pPr>
    <w:rPr>
      <w:rFonts w:ascii="Arial" w:hAnsi="Arial" w:cs="Arial"/>
    </w:rPr>
  </w:style>
  <w:style w:type="character" w:styleId="Emphasis">
    <w:name w:val="Emphasis"/>
    <w:basedOn w:val="DefaultParagraphFont"/>
    <w:qFormat/>
    <w:rsid w:val="007130C6"/>
    <w:rPr>
      <w:rFonts w:ascii="Arial" w:hAnsi="Arial" w:cs="Arial"/>
      <w:i/>
      <w:iCs/>
      <w:lang w:val="en-GB" w:eastAsia="ar-SA" w:bidi="ar-SA"/>
    </w:rPr>
  </w:style>
  <w:style w:type="character" w:customStyle="1" w:styleId="Cog-bodyChar">
    <w:name w:val="Cog-body Char"/>
    <w:aliases w:val="Cog-body Char1,cb Char,Cog-boby Char,Cog-body Char2"/>
    <w:link w:val="Cog-body"/>
    <w:locked/>
    <w:rsid w:val="007130C6"/>
    <w:rPr>
      <w:rFonts w:ascii="Arial" w:eastAsia="Times New Roman" w:hAnsi="Arial" w:cs="Arial"/>
      <w:sz w:val="20"/>
      <w:szCs w:val="20"/>
      <w:lang w:val="en-GB"/>
    </w:rPr>
  </w:style>
  <w:style w:type="paragraph" w:customStyle="1" w:styleId="cog-body0">
    <w:name w:val="cog-body"/>
    <w:basedOn w:val="Normal"/>
    <w:rsid w:val="007130C6"/>
    <w:pPr>
      <w:keepNext/>
      <w:spacing w:before="60" w:after="60" w:line="260" w:lineRule="atLeast"/>
      <w:ind w:left="720"/>
      <w:jc w:val="both"/>
    </w:pPr>
    <w:rPr>
      <w:rFonts w:ascii="Arial" w:eastAsiaTheme="minorHAnsi" w:hAnsi="Arial" w:cs="Arial"/>
      <w:sz w:val="22"/>
      <w:szCs w:val="22"/>
      <w:lang w:val="en-US"/>
    </w:rPr>
  </w:style>
  <w:style w:type="paragraph" w:styleId="BodyText">
    <w:name w:val="Body Text"/>
    <w:basedOn w:val="Normal"/>
    <w:link w:val="BodyTextChar"/>
    <w:uiPriority w:val="99"/>
    <w:semiHidden/>
    <w:unhideWhenUsed/>
    <w:rsid w:val="007130C6"/>
    <w:pPr>
      <w:spacing w:after="120"/>
    </w:pPr>
  </w:style>
  <w:style w:type="character" w:customStyle="1" w:styleId="BodyTextChar">
    <w:name w:val="Body Text Char"/>
    <w:basedOn w:val="DefaultParagraphFont"/>
    <w:link w:val="BodyText"/>
    <w:uiPriority w:val="99"/>
    <w:semiHidden/>
    <w:rsid w:val="007130C6"/>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uiPriority w:val="9"/>
    <w:rsid w:val="007130C6"/>
    <w:rPr>
      <w:rFonts w:asciiTheme="majorHAnsi" w:eastAsiaTheme="majorEastAsia" w:hAnsiTheme="majorHAnsi" w:cstheme="majorBidi"/>
      <w:b/>
      <w:bCs/>
      <w:color w:val="4F81BD" w:themeColor="accent1"/>
      <w:sz w:val="20"/>
      <w:szCs w:val="20"/>
      <w:lang w:val="en-GB"/>
    </w:rPr>
  </w:style>
  <w:style w:type="paragraph" w:styleId="BalloonText">
    <w:name w:val="Balloon Text"/>
    <w:basedOn w:val="Normal"/>
    <w:link w:val="BalloonTextChar"/>
    <w:uiPriority w:val="99"/>
    <w:semiHidden/>
    <w:unhideWhenUsed/>
    <w:rsid w:val="003C140A"/>
    <w:rPr>
      <w:rFonts w:ascii="Tahoma" w:hAnsi="Tahoma" w:cs="Tahoma"/>
      <w:sz w:val="16"/>
      <w:szCs w:val="16"/>
    </w:rPr>
  </w:style>
  <w:style w:type="character" w:customStyle="1" w:styleId="BalloonTextChar">
    <w:name w:val="Balloon Text Char"/>
    <w:basedOn w:val="DefaultParagraphFont"/>
    <w:link w:val="BalloonText"/>
    <w:uiPriority w:val="99"/>
    <w:semiHidden/>
    <w:rsid w:val="003C140A"/>
    <w:rPr>
      <w:rFonts w:ascii="Tahoma" w:eastAsia="Times New Roman" w:hAnsi="Tahoma" w:cs="Tahoma"/>
      <w:sz w:val="16"/>
      <w:szCs w:val="16"/>
      <w:lang w:val="en-GB"/>
    </w:rPr>
  </w:style>
  <w:style w:type="table" w:customStyle="1" w:styleId="TableGrid1">
    <w:name w:val="Table Grid1"/>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E09"/>
    <w:pPr>
      <w:ind w:left="720"/>
      <w:contextualSpacing/>
    </w:pPr>
  </w:style>
  <w:style w:type="character" w:styleId="Hyperlink">
    <w:name w:val="Hyperlink"/>
    <w:basedOn w:val="DefaultParagraphFont"/>
    <w:uiPriority w:val="99"/>
    <w:unhideWhenUsed/>
    <w:rsid w:val="006E2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ekmoulik.github.io/welcome/docs/Result_Graduation.png" TargetMode="External"/><Relationship Id="rId13" Type="http://schemas.openxmlformats.org/officeDocument/2006/relationships/hyperlink" Target="https://bibekmoulik.github.io/welcome/docs/Cert_WMB8.png" TargetMode="External"/><Relationship Id="rId18" Type="http://schemas.openxmlformats.org/officeDocument/2006/relationships/hyperlink" Target="https://bibekmoulik.github.io/Visual-Mapp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ekmoulik.github.io/welcome/docs/Cert_IIB9.png" TargetMode="External"/><Relationship Id="rId17" Type="http://schemas.openxmlformats.org/officeDocument/2006/relationships/hyperlink" Target="https://bibekmoulik.github.io/XSLT-Translator/" TargetMode="External"/><Relationship Id="rId2" Type="http://schemas.openxmlformats.org/officeDocument/2006/relationships/numbering" Target="numbering.xml"/><Relationship Id="rId16" Type="http://schemas.openxmlformats.org/officeDocument/2006/relationships/hyperlink" Target="https://bibekmoulik.github.io/welcome/docs/Cognizant_Associate_of_the_Quarter_Q4_2017.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Cert_Bluemix.png" TargetMode="External"/><Relationship Id="rId5" Type="http://schemas.openxmlformats.org/officeDocument/2006/relationships/webSettings" Target="webSettings.xml"/><Relationship Id="rId15" Type="http://schemas.openxmlformats.org/officeDocument/2006/relationships/hyperlink" Target="https://bibekmoulik.github.io/welcome/docs/Cognizant_Shining_Star_2016.png" TargetMode="External"/><Relationship Id="rId23" Type="http://schemas.openxmlformats.org/officeDocument/2006/relationships/theme" Target="theme/theme1.xml"/><Relationship Id="rId10" Type="http://schemas.openxmlformats.org/officeDocument/2006/relationships/hyperlink" Target="https://bibekmoulik.github.io/welcome/docs/Result_Madhyamik.png" TargetMode="External"/><Relationship Id="rId19" Type="http://schemas.openxmlformats.org/officeDocument/2006/relationships/hyperlink" Target="https://bibekmoulik.github.io/welcome" TargetMode="External"/><Relationship Id="rId4" Type="http://schemas.openxmlformats.org/officeDocument/2006/relationships/settings" Target="settings.xml"/><Relationship Id="rId9" Type="http://schemas.openxmlformats.org/officeDocument/2006/relationships/hyperlink" Target="https://bibekmoulik.github.io/welcome/docs/Result_HS.png" TargetMode="External"/><Relationship Id="rId14" Type="http://schemas.openxmlformats.org/officeDocument/2006/relationships/hyperlink" Target="https://bibekmoulik.github.io/welcome/docs/Cognizant_Shining_Star_2015.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D4B01-94E8-402D-BB46-B1E088E8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9</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Moulik, Bibek (Cognizant)</dc:creator>
  <cp:lastModifiedBy>Moulik, Bibek (Cognizant)</cp:lastModifiedBy>
  <cp:revision>104</cp:revision>
  <dcterms:created xsi:type="dcterms:W3CDTF">2014-06-05T13:18:00Z</dcterms:created>
  <dcterms:modified xsi:type="dcterms:W3CDTF">2018-04-26T11:50:00Z</dcterms:modified>
</cp:coreProperties>
</file>