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0D7D3" w14:textId="77777777" w:rsidR="008E4F8C" w:rsidRDefault="00000000">
      <w:pPr>
        <w:pStyle w:val="Heading1"/>
      </w:pPr>
      <w:r>
        <w:t>1. Raw Data Folder and src/data Folder</w:t>
      </w:r>
    </w:p>
    <w:p w14:paraId="72949609" w14:textId="77777777" w:rsidR="008E4F8C" w:rsidRDefault="00000000">
      <w:pPr>
        <w:pStyle w:val="Heading2"/>
      </w:pPr>
      <w:r>
        <w:t>1.1 rawdata folder: original Google Trends pulls</w:t>
      </w:r>
    </w:p>
    <w:p w14:paraId="494CD60C" w14:textId="77777777" w:rsidR="008E4F8C" w:rsidRDefault="00000000">
      <w:r>
        <w:t>The rawdata folder stores the manually downloaded Google Trends CSV files. These files are the starting point of the target time series. In the current project, rawdata contains 228 CSV files arranged into 12 crop groups: g1 through g12. Each group has 19 overlapping Google Trends pulls, named p01 through p19. Together, the files cover weekly dates from 2015-12-27 to 2025-12-28.</w:t>
      </w:r>
    </w:p>
    <w:p w14:paraId="23BC7117" w14:textId="77777777" w:rsidR="008E4F8C" w:rsidRDefault="00000000">
      <w:r>
        <w:t>Each CSV contains one date column named Time and several crop columns. For example, group g1 contains Strawberry, Blueberry, Watermelon, Cucumber, and Tomato. Group g12 contains Banana, Broccoli, Cauliflower, Cucumber, Garlic, Onion, and Spinach. Cucumber appears in every group and is used as a bridge crop to put all groups on a comparable scale.</w:t>
      </w:r>
    </w:p>
    <w:p w14:paraId="0F4B33F5" w14:textId="77777777" w:rsidR="008E4F8C" w:rsidRDefault="00000000">
      <w:r>
        <w:t>Google Trends values are relative, not absolute. A value of 100 means the highest search interest within that particular downloaded window, and lower values are scaled against that window. This creates a problem: p01 and p02 may both contain Cucumber, but their 0-100 scales are not automatically comparable because Google recalculates the scale for every download.</w:t>
      </w:r>
    </w:p>
    <w:p w14:paraId="5315051C" w14:textId="77777777" w:rsidR="008E4F8C" w:rsidRDefault="00000000">
      <w:r>
        <w:t>Simple example: suppose Cucumber has an average value of 60 in the overlapping weeks of p01, but the same overlapping weeks average 30 in p02. The code estimates a scale factor of 60 / 30 = 2.0, multiplies all p02 crop values by 2.0, and then appends only the new weeks from p02. This turns separate Google Trends downloads into one continuous weekly series.</w:t>
      </w:r>
    </w:p>
    <w:p w14:paraId="6871EB78" w14:textId="77777777" w:rsidR="008E4F8C" w:rsidRDefault="00000000">
      <w:r>
        <w:t>Important reproducibility note: config.py currently defines DATA_DIR as a folder named data, but the repository contains rawdata. The generated outputs show that the pipeline has been run before, but if the scripts are rerun as-is, the raw input path may need to be updated from data to rawdata or the raw files copied into data.</w:t>
      </w:r>
    </w:p>
    <w:p w14:paraId="756354CD" w14:textId="77777777" w:rsidR="008E4F8C" w:rsidRDefault="00000000">
      <w:pPr>
        <w:pStyle w:val="Heading2"/>
      </w:pPr>
      <w:r>
        <w:t>1.2 src/data folder: data processing and validation layer</w:t>
      </w:r>
    </w:p>
    <w:p w14:paraId="7EB92020" w14:textId="77777777" w:rsidR="008E4F8C" w:rsidRDefault="00000000">
      <w:r>
        <w:t>The src/data folder contains the scripts that turn raw Google Trends downloads into a clean forecasting panel and then validate that panel. It is not raw data itself; it is the code layer that loads, stitches, checks, and corroborates the data.</w:t>
      </w:r>
    </w:p>
    <w:p w14:paraId="1F125BF2" w14:textId="77777777" w:rsidR="008E4F8C" w:rsidRDefault="00000000">
      <w:pPr>
        <w:pStyle w:val="Heading3"/>
      </w:pPr>
      <w:r>
        <w:t>stitch_panel.py</w:t>
      </w:r>
    </w:p>
    <w:p w14:paraId="1E5E112F" w14:textId="77777777" w:rsidR="008E4F8C" w:rsidRDefault="00000000">
      <w:r>
        <w:t>stitch_panel.py builds the final weekly crop-interest panel. It does this in three main phases.</w:t>
      </w:r>
    </w:p>
    <w:p w14:paraId="19C5E961" w14:textId="77777777" w:rsidR="008E4F8C" w:rsidRDefault="00000000">
      <w:pPr>
        <w:pStyle w:val="ListNumber"/>
      </w:pPr>
      <w:r>
        <w:t>Within-group stitching: for each group, the code joins p01 to p19 using the overlapping weeks. It computes a multiplicative scale factor from the shared dates and shared crops, rescales the newer file, and appends only the new weeks.</w:t>
      </w:r>
    </w:p>
    <w:p w14:paraId="5896F5A5" w14:textId="77777777" w:rsidR="008E4F8C" w:rsidRDefault="00000000">
      <w:pPr>
        <w:pStyle w:val="ListNumber"/>
      </w:pPr>
      <w:r>
        <w:lastRenderedPageBreak/>
        <w:t>Cross-group rescaling: after each group has its own long time series, the code rescales every non-reference group to the g1 scale. Cucumber is the main anchor crop, because it appears in every group. If a group has another shared crop, such as Tomato in g3, the code can also inspect that as an additional anchor.</w:t>
      </w:r>
    </w:p>
    <w:p w14:paraId="325A98C1" w14:textId="77777777" w:rsidR="008E4F8C" w:rsidRDefault="00000000">
      <w:pPr>
        <w:pStyle w:val="ListNumber"/>
      </w:pPr>
      <w:r>
        <w:t>Final assembly: duplicate bridge crops are removed from later groups, the unique crop columns are assembled into one panel, and the whole panel is normalized back to a 0-100 range.</w:t>
      </w:r>
    </w:p>
    <w:p w14:paraId="58A2E779" w14:textId="77777777" w:rsidR="008E4F8C" w:rsidRDefault="00000000">
      <w:r>
        <w:t>The output panel currently has 523 weekly rows and 49 crop columns, covering about 10.1 annual cycles. The validation output reports no missing weekly dates and a final value range from 0.0 to 100.0.</w:t>
      </w:r>
    </w:p>
    <w:p w14:paraId="7C96F21B" w14:textId="77777777" w:rsidR="008E4F8C" w:rsidRDefault="00000000">
      <w:pPr>
        <w:pStyle w:val="Heading3"/>
      </w:pPr>
      <w:r>
        <w:t>validate_panel.py</w:t>
      </w:r>
    </w:p>
    <w:p w14:paraId="45D2FE41" w14:textId="77777777" w:rsidR="008E4F8C" w:rsidRDefault="00000000">
      <w:r>
        <w:t>validate_panel.py performs basic sanity checks on the final stitched panel. It checks the date range, verifies that weekly dates are not missing, calculates the fraction of zero or missing values for each crop, checks the final value range, and writes summary CSV files for downstream steps.</w:t>
      </w:r>
    </w:p>
    <w:p w14:paraId="4A70D49C" w14:textId="77777777" w:rsidR="008E4F8C" w:rsidRDefault="00000000">
      <w:r>
        <w:t>The current validation output marks 6 crops as sparse because more than 20% of their weeks are zero or missing: Citrus ? Tangerina, Carrot, Mint, Maize, Broccoli, and Radish. The remaining 43 crops pass the sparsity gate and are written into crop_list.csv for modeling.</w:t>
      </w:r>
    </w:p>
    <w:p w14:paraId="65994C12" w14:textId="77777777" w:rsidR="008E4F8C" w:rsidRDefault="00000000">
      <w:pPr>
        <w:pStyle w:val="Heading3"/>
      </w:pPr>
      <w:r>
        <w:t>validate_stitch.py</w:t>
      </w:r>
    </w:p>
    <w:p w14:paraId="450841DB" w14:textId="77777777" w:rsidR="008E4F8C" w:rsidRDefault="00000000">
      <w:r>
        <w:t>validate_stitch.py tests whether the stitching process is reliable. These checks are called Gate A because they validate the data layer before any forecasting model is trained.</w:t>
      </w:r>
    </w:p>
    <w:p w14:paraId="68D336F0" w14:textId="29330984" w:rsidR="008E4F8C" w:rsidRDefault="00000000">
      <w:pPr>
        <w:pStyle w:val="ListBullet"/>
      </w:pPr>
      <w:r>
        <w:t xml:space="preserve">A0 checks </w:t>
      </w:r>
      <w:proofErr w:type="gramStart"/>
      <w:r>
        <w:t>seam</w:t>
      </w:r>
      <w:r w:rsidR="007B2932">
        <w:t>(</w:t>
      </w:r>
      <w:proofErr w:type="gramEnd"/>
      <w:r w:rsidR="007B2932">
        <w:t>)</w:t>
      </w:r>
      <w:r>
        <w:t xml:space="preserve"> integrity, meaning it looks for empty windows or joins that could not be scaled correctly.</w:t>
      </w:r>
      <w:r w:rsidR="007B2932">
        <w:t xml:space="preserve"> </w:t>
      </w:r>
    </w:p>
    <w:p w14:paraId="6CB8B5D6" w14:textId="77777777" w:rsidR="007B2932" w:rsidRPr="007B2932" w:rsidRDefault="007B2932" w:rsidP="007B2932">
      <w:pPr>
        <w:pStyle w:val="ListBullet"/>
        <w:numPr>
          <w:ilvl w:val="0"/>
          <w:numId w:val="0"/>
        </w:numPr>
        <w:ind w:left="360"/>
      </w:pPr>
      <w:proofErr w:type="gramStart"/>
      <w:r w:rsidRPr="007B2932">
        <w:t>[ Panel</w:t>
      </w:r>
      <w:proofErr w:type="gramEnd"/>
      <w:r w:rsidRPr="007B2932">
        <w:t xml:space="preserve"> </w:t>
      </w:r>
      <w:proofErr w:type="gramStart"/>
      <w:r w:rsidRPr="007B2932">
        <w:t>A ]</w:t>
      </w:r>
      <w:proofErr w:type="gramEnd"/>
      <w:r w:rsidRPr="007B2932">
        <w:t xml:space="preserve"> | [ Panel </w:t>
      </w:r>
      <w:proofErr w:type="gramStart"/>
      <w:r w:rsidRPr="007B2932">
        <w:t>B ]</w:t>
      </w:r>
      <w:proofErr w:type="gramEnd"/>
    </w:p>
    <w:p w14:paraId="0524B760" w14:textId="0ED3A336" w:rsidR="007B2932" w:rsidRPr="007B2932" w:rsidRDefault="007B2932" w:rsidP="007B2932">
      <w:pPr>
        <w:pStyle w:val="ListBullet"/>
        <w:numPr>
          <w:ilvl w:val="0"/>
          <w:numId w:val="0"/>
        </w:numPr>
        <w:ind w:left="360" w:hanging="360"/>
      </w:pPr>
      <w:r>
        <w:t xml:space="preserve">                </w:t>
      </w:r>
      <w:r w:rsidRPr="007B2932">
        <w:t xml:space="preserve">         ↑</w:t>
      </w:r>
    </w:p>
    <w:p w14:paraId="03361CD5" w14:textId="75E9997F" w:rsidR="007B2932" w:rsidRDefault="007B2932" w:rsidP="007B2932">
      <w:pPr>
        <w:pStyle w:val="ListBullet"/>
        <w:numPr>
          <w:ilvl w:val="0"/>
          <w:numId w:val="0"/>
        </w:numPr>
        <w:ind w:left="360"/>
      </w:pPr>
      <w:r w:rsidRPr="007B2932">
        <w:t xml:space="preserve">           </w:t>
      </w:r>
      <w:r>
        <w:t xml:space="preserve">    </w:t>
      </w:r>
      <w:proofErr w:type="gramStart"/>
      <w:r w:rsidRPr="007B2932">
        <w:t>seam</w:t>
      </w:r>
      <w:proofErr w:type="gramEnd"/>
    </w:p>
    <w:p w14:paraId="09EF80DD" w14:textId="77777777" w:rsidR="008E4F8C" w:rsidRDefault="00000000">
      <w:pPr>
        <w:pStyle w:val="ListBullet"/>
      </w:pPr>
      <w:r>
        <w:t>A1 checks overlap reconstruction error. After scaling two overlapping windows, the values in their shared weeks should be close. Large disagreement means the seam is unreliable.</w:t>
      </w:r>
    </w:p>
    <w:p w14:paraId="442F526F" w14:textId="77777777" w:rsidR="008E4F8C" w:rsidRDefault="00000000">
      <w:pPr>
        <w:pStyle w:val="ListBullet"/>
      </w:pPr>
      <w:r>
        <w:t>A2 checks whether cross-group scaling depends too much on the chosen anchor crop. Most groups only have Cucumber as a direct anchor, while g3 also shares Tomato with g1.</w:t>
      </w:r>
    </w:p>
    <w:p w14:paraId="667A5659" w14:textId="77777777" w:rsidR="008E4F8C" w:rsidRDefault="00000000">
      <w:pPr>
        <w:pStyle w:val="ListBullet"/>
      </w:pPr>
      <w:r>
        <w:t xml:space="preserve">A3 compares two scaling estimators: </w:t>
      </w:r>
      <w:r w:rsidRPr="007B2932">
        <w:rPr>
          <w:i/>
          <w:iCs/>
        </w:rPr>
        <w:t>ratio-of-means</w:t>
      </w:r>
      <w:r>
        <w:t xml:space="preserve"> and </w:t>
      </w:r>
      <w:r w:rsidRPr="007B2932">
        <w:rPr>
          <w:i/>
          <w:iCs/>
        </w:rPr>
        <w:t>median-of-ratios</w:t>
      </w:r>
      <w:r>
        <w:t>. If the final panel barely changes, the result is robust to the estimator choice.</w:t>
      </w:r>
    </w:p>
    <w:p w14:paraId="7E4F6EFE" w14:textId="77777777" w:rsidR="008E4F8C" w:rsidRDefault="00000000">
      <w:pPr>
        <w:pStyle w:val="ListBullet"/>
      </w:pPr>
      <w:r>
        <w:t>A5 estimates a lower-bound noise floor from disagreement between adjacent overlapping windows. This gives a practical limit on how accurate forecasts can honestly be.</w:t>
      </w:r>
    </w:p>
    <w:p w14:paraId="4861FE3C" w14:textId="77777777" w:rsidR="008E4F8C" w:rsidRDefault="00000000">
      <w:r>
        <w:t xml:space="preserve">The existing output tables show that most seam errors are small, but one historical integrity table flags g11 p16 and p17 as problematic. Because the current rawdata files are present for </w:t>
      </w:r>
      <w:r>
        <w:lastRenderedPageBreak/>
        <w:t>those windows, this validation should be rerun after confirming the input path so the tables reflect the current raw files.</w:t>
      </w:r>
    </w:p>
    <w:p w14:paraId="7263164A" w14:textId="77777777" w:rsidR="008E4F8C" w:rsidRDefault="00000000">
      <w:pPr>
        <w:pStyle w:val="Heading3"/>
      </w:pPr>
      <w:r>
        <w:t>wiki_corroboration.py</w:t>
      </w:r>
    </w:p>
    <w:p w14:paraId="5E5B148F" w14:textId="77777777" w:rsidR="008E4F8C" w:rsidRDefault="00000000">
      <w:r>
        <w:t>wiki_corroboration.py provides an independent check using English Wikipedia pageviews. The idea is simple: if the Google Trends panel captures real public interest, it should often have a similar seasonal pattern to Wikipedia traffic for the same crop. The script fetches daily pageviews, converts them to weekly totals, aligns them with the Google Trends panel, and computes Pearson and Spearman correlations.</w:t>
      </w:r>
    </w:p>
    <w:p w14:paraId="67309F91" w14:textId="77777777" w:rsidR="008E4F8C" w:rsidRDefault="00000000">
      <w:r>
        <w:t>This does not prove that the Google Trends data is perfect, because Wikipedia interest is global while the project is about Florida crop search behavior. However, it is useful as a second signal that is not affected by Google Trends scaling.</w:t>
      </w:r>
    </w:p>
    <w:p w14:paraId="4F6673E9" w14:textId="77777777" w:rsidR="008E4F8C" w:rsidRDefault="00000000">
      <w:pPr>
        <w:pStyle w:val="Heading1"/>
      </w:pPr>
      <w:r>
        <w:t>2. Feature Engineering Folder</w:t>
      </w:r>
    </w:p>
    <w:p w14:paraId="2879A39D" w14:textId="77777777" w:rsidR="008E4F8C" w:rsidRDefault="00000000">
      <w:r>
        <w:t>The src/features folder creates additional model inputs from the target panel, calendar knowledge, and weather data. These features help a forecasting model learn temporal structure instead of only seeing the raw crop series.</w:t>
      </w:r>
    </w:p>
    <w:p w14:paraId="5D867C13" w14:textId="77777777" w:rsidR="008E4F8C" w:rsidRDefault="00000000">
      <w:pPr>
        <w:pStyle w:val="Heading2"/>
      </w:pPr>
      <w:r>
        <w:t>2.1 lag_features.py: using the past to predict the future</w:t>
      </w:r>
    </w:p>
    <w:p w14:paraId="0B52CE08" w14:textId="77777777" w:rsidR="008E4F8C" w:rsidRDefault="00000000">
      <w:r>
        <w:t>lag_features.py creates lagged versions of every crop time series. A lag means the value from a previous week. The default lags are 1, 2, 4, 8, 13, 26, and 52 weeks.</w:t>
      </w:r>
    </w:p>
    <w:p w14:paraId="02B6B651" w14:textId="77777777" w:rsidR="008E4F8C" w:rsidRDefault="00000000">
      <w:r>
        <w:t>This is important because time-series forecasting is usually autocorrelated: recent values and same-season values from the past are strong predictors. A 1-week lag tells the model what happened last week. A 4-week lag gives roughly one month of memory. A 52-week lag gives the same week last year, which is especially useful for crops with annual seasonality.</w:t>
      </w:r>
    </w:p>
    <w:p w14:paraId="367CF7C0" w14:textId="77777777" w:rsidR="008E4F8C" w:rsidRDefault="00000000">
      <w:r>
        <w:t>Simple example: if the Tomato Google Trends value is 80 on 2024-04-07, then Tomato_lag1 for 2024-04-14 is 80. The model can use that value to understand that Tomato interest was already high one week earlier.</w:t>
      </w:r>
    </w:p>
    <w:p w14:paraId="73394EAD" w14:textId="77777777" w:rsidR="008E4F8C" w:rsidRDefault="00000000">
      <w:r>
        <w:t>The function make_lag_features(panel) loops through the selected lags, shifts the whole crop panel by that many weeks, renames the columns as Crop_lagK, and concatenates everything into one feature table. The first 52 rows will contain missing values for lag52 because there is no previous-year value yet. These missing rows must be handled later by the training pipeline.</w:t>
      </w:r>
    </w:p>
    <w:p w14:paraId="788C3017" w14:textId="77777777" w:rsidR="008E4F8C" w:rsidRDefault="00000000">
      <w:r>
        <w:t>The code is leakage-safe because it only uses shift(k), meaning the value at time t receives information from time t-k. It never uses future values from t+1 or later.</w:t>
      </w:r>
    </w:p>
    <w:p w14:paraId="351DDC44" w14:textId="77777777" w:rsidR="008E4F8C" w:rsidRDefault="00000000">
      <w:pPr>
        <w:pStyle w:val="Heading2"/>
      </w:pPr>
      <w:r>
        <w:t>2.2 calendar_features.py: encoding seasonality and Florida crop windows</w:t>
      </w:r>
    </w:p>
    <w:p w14:paraId="5597E48F" w14:textId="77777777" w:rsidR="008E4F8C" w:rsidRDefault="00000000">
      <w:r>
        <w:t>calendar_features.py adds two types of calendar features: Fourier seasonality terms and Florida in-season flags.</w:t>
      </w:r>
    </w:p>
    <w:p w14:paraId="3F282335" w14:textId="77777777" w:rsidR="008E4F8C" w:rsidRDefault="00000000">
      <w:r>
        <w:lastRenderedPageBreak/>
        <w:t>Fourier features represent smooth repeating yearly patterns using sine and cosine waves. The code creates four harmonics, which gives eight columns: sin_k1, cos_k1, through sin_k4, cos_k4. These columns help the model learn broad annual cycles, such as higher search interest for Watermelon in spring and summer or Pumpkin in fall.</w:t>
      </w:r>
    </w:p>
    <w:p w14:paraId="01DB7941" w14:textId="77777777" w:rsidR="008E4F8C" w:rsidRDefault="00000000">
      <w:r>
        <w:t>Simple example: instead of giving the model only the week number 20, Fourier features convert time into smooth waves. Week 20 and week 21 will have similar values, while winter and summer weeks will look different in a continuous way. This is easier for many models to learn than raw week numbers.</w:t>
      </w:r>
    </w:p>
    <w:p w14:paraId="5BC773A6" w14:textId="2FB86E7F" w:rsidR="008E4F8C" w:rsidRDefault="00000000">
      <w:r>
        <w:t>The in-season flags use a dictionary named FL_SEASON. Each crop maps to a start and end ISO week for its Florida peak season. The output is one binary column per crop, named Crop_in_season. A value of 1 means the week is inside that crop</w:t>
      </w:r>
      <w:r w:rsidR="00A36FE7">
        <w:t>’</w:t>
      </w:r>
      <w:r>
        <w:t>s expected Florida season, and 0 means outside the season.</w:t>
      </w:r>
    </w:p>
    <w:p w14:paraId="0DAC9AA0" w14:textId="77777777" w:rsidR="008E4F8C" w:rsidRDefault="00000000">
      <w:r>
        <w:t>The code also handles seasons that cross the new year. For example, Strawberry is listed as week 44 to week 17, meaning November through April. Since 44 is greater than 17, the function treats weeks 44-52 and weeks 1-17 as in season.</w:t>
      </w:r>
    </w:p>
    <w:p w14:paraId="31B4A526" w14:textId="77777777" w:rsidR="008E4F8C" w:rsidRDefault="00000000">
      <w:r>
        <w:t>Simple example: for Strawberry, a week in December receives Strawberry_in_season = 1, and a week in July receives Strawberry_in_season = 0. The model can then separate ordinary seasonal demand from unusual spikes.</w:t>
      </w:r>
    </w:p>
    <w:p w14:paraId="7A305F0B" w14:textId="77777777" w:rsidR="008E4F8C" w:rsidRDefault="00000000">
      <w:pPr>
        <w:pStyle w:val="Heading2"/>
      </w:pPr>
      <w:r>
        <w:t>2.3 weather_features.py and the weather feature technical design</w:t>
      </w:r>
    </w:p>
    <w:p w14:paraId="2CBB2AB3" w14:textId="77777777" w:rsidR="008E4F8C" w:rsidRDefault="00000000">
      <w:r>
        <w:t>weather_features.py builds Florida statewide weather features from NOAA Climate Data Online. The goal is to add weather signals that can explain crop search interest, especially weather shocks that may cause public attention, crop damage, or seasonal concern.</w:t>
      </w:r>
    </w:p>
    <w:p w14:paraId="2361D8B1" w14:textId="77777777" w:rsidR="008E4F8C" w:rsidRDefault="00000000">
      <w:r>
        <w:t>The script downloads daily NOAA GHCND records for Florida using locationid FIPS:12. It fetches TMAX, TMIN, and PRCP. TMAX is daily maximum temperature in Fahrenheit, TMIN is daily minimum temperature in Fahrenheit, and PRCP is precipitation. NOAA standard precipitation is converted from inches to millimeters.</w:t>
      </w:r>
    </w:p>
    <w:p w14:paraId="7BC2B299" w14:textId="77777777" w:rsidR="008E4F8C" w:rsidRDefault="00000000">
      <w:r>
        <w:t>The download process is designed for long-running reliability. NOAA limits requests to date windows of at most one year, so the code splits the full 2016-2025 range into yearly windows. It also paginates results, retries temporary failures such as 429 rate limits or 5xx server errors, waits between requests, and caches each completed datatype-window. If the download fails halfway through, a rerun can continue from the cache instead of starting over.</w:t>
      </w:r>
    </w:p>
    <w:p w14:paraId="774A8F8A" w14:textId="77777777" w:rsidR="008E4F8C" w:rsidRDefault="00000000">
      <w:r>
        <w:t>After daily data is collected, the code derives daily quantities. TAVG is the average of TMAX and TMIN. GDD, or growing degree days, is max(TAVG - 50?F, 0). This measures accumulated useful heat for plant growth. The code also creates daily event flags: freeze_days when TMIN is at or below 32?F, heat_days when TMAX is at or above 90?F, rain_days when precipitation is at least 1 mm, and chill_days when TAVG is between 32?F and 45?F.</w:t>
      </w:r>
    </w:p>
    <w:p w14:paraId="027199FF" w14:textId="77777777" w:rsidR="008E4F8C" w:rsidRDefault="00000000">
      <w:r>
        <w:lastRenderedPageBreak/>
        <w:t>The daily data is then resampled to weekly Sunday-ending rows, matching the Google Trends panel frequency. Weekly TMAX, TMIN, and TAVG are averages. Weekly PRCP and GDD are sums. Weekly PRCP_max is the wettest single day in the week. Weekly freeze_days, heat_days, rain_days, and chill_days are counts.</w:t>
      </w:r>
    </w:p>
    <w:p w14:paraId="5B2D7EA9" w14:textId="77777777" w:rsidR="008E4F8C" w:rsidRDefault="00000000">
      <w:r>
        <w:t>The weather features are grouped into three conceptual sets.</w:t>
      </w:r>
    </w:p>
    <w:p w14:paraId="7B610DFB" w14:textId="77777777" w:rsidR="008E4F8C" w:rsidRDefault="00000000">
      <w:pPr>
        <w:pStyle w:val="ListBullet"/>
      </w:pPr>
      <w:r>
        <w:t>Level features: TMAX, TMIN, TAVG, PRCP, PRCP_max, GDD, and GDD_accum. These describe the general weather level or cumulative growing conditions.</w:t>
      </w:r>
    </w:p>
    <w:p w14:paraId="55625F4D" w14:textId="77777777" w:rsidR="008E4F8C" w:rsidRDefault="00000000">
      <w:pPr>
        <w:pStyle w:val="ListBullet"/>
      </w:pPr>
      <w:r>
        <w:t>Shock features: freeze_days, heat_days, rain_days, and chill_days. These describe event counts that may trigger search behavior, such as Florida freeze events affecting citrus or strawberries.</w:t>
      </w:r>
    </w:p>
    <w:p w14:paraId="39EEF666" w14:textId="77777777" w:rsidR="008E4F8C" w:rsidRDefault="00000000">
      <w:pPr>
        <w:pStyle w:val="ListBullet"/>
      </w:pPr>
      <w:r>
        <w:t>Anomaly features: TMAX_anom, TMIN_anom, TAVG_anom, PRCP_anom, and GDD_anom. These measure how unusual the weather is for that week of the year.</w:t>
      </w:r>
    </w:p>
    <w:p w14:paraId="1F6F7056" w14:textId="77777777" w:rsidR="008E4F8C" w:rsidRDefault="00000000">
      <w:r>
        <w:t>The anomaly calculation is especially important. The function add_weather_anomalies() computes week-of-year z-scores using only the training fold. This prevents leakage. For example, when forecasting 2024, the model should not use 2024 test-period weather to define what ?normal? weather means. It should learn the normal climatology from the training dates only, then apply that normal baseline to later weeks.</w:t>
      </w:r>
    </w:p>
    <w:p w14:paraId="11355F73" w14:textId="77777777" w:rsidR="008E4F8C" w:rsidRDefault="00000000">
      <w:r>
        <w:t>Simple anomaly example: suppose the training data says week 5 usually has an average TMIN of 50?F with a standard deviation of 5?F. If a later week 5 has TMIN = 40?F, then TMIN_anom = (40 - 50) / 5 = -2.0. This tells the model that the week was unusually cold for that time of year, not just cold in an absolute sense.</w:t>
      </w:r>
    </w:p>
    <w:p w14:paraId="479B67D7" w14:textId="77777777" w:rsidR="008E4F8C" w:rsidRDefault="00000000">
      <w:r>
        <w:t>The align_to_panel() function reindexes the weekly weather table to the exact Google Trends panel dates. If a small number of weeks are missing, it forward-fills up to two consecutive weeks. Longer gaps remain missing so they can be noticed downstream rather than silently hidden.</w:t>
      </w:r>
    </w:p>
    <w:p w14:paraId="2FEB6B43" w14:textId="77777777" w:rsidR="008E4F8C" w:rsidRDefault="00000000">
      <w:r>
        <w:t>At the moment, the expected weather cache files noaa_weather_fl_daily_raw.csv and noaa_weather_fl.csv are not present in outputs/panel. That means the weather feature script may need to be run before models can use these features, or the cached files may exist outside the current project folder.</w:t>
      </w:r>
    </w:p>
    <w:p w14:paraId="757EC01B" w14:textId="77777777" w:rsidR="008E4F8C" w:rsidRDefault="00000000">
      <w:pPr>
        <w:pStyle w:val="Heading1"/>
      </w:pPr>
      <w:r>
        <w:t>3. How These Pieces Fit Together for Graph Time-Series Forecasting</w:t>
      </w:r>
    </w:p>
    <w:p w14:paraId="1A9CB2B0" w14:textId="77777777" w:rsidR="008E4F8C" w:rsidRDefault="00000000">
      <w:r>
        <w:t>The overall pipeline is: raw Google Trends CSVs are stitched into one weekly crop panel; the panel is validated for missing dates, sparse crops, seam quality, and independent corroboration; lag, calendar, and weather features are created; then the forecasting model can use these features together with graph structure.</w:t>
      </w:r>
    </w:p>
    <w:p w14:paraId="087FCC8D" w14:textId="77777777" w:rsidR="008E4F8C" w:rsidRDefault="00000000">
      <w:r>
        <w:lastRenderedPageBreak/>
        <w:t>In simple terms, the target panel tells the model what people searched for, lag features tell it what happened in previous weeks, calendar features tell it what time of year it is and whether each crop is in season, and weather features tell it whether Florida had normal conditions or unusual events. The graph model can then learn relationships between crops while the time-series features explain temporal behavior.</w:t>
      </w:r>
    </w:p>
    <w:p w14:paraId="29D7030F" w14:textId="77777777" w:rsidR="00A71D39" w:rsidRDefault="00000000">
      <w:r>
        <w:br w:type="page"/>
      </w:r>
    </w:p>
    <w:p w14:paraId="389D1504" w14:textId="77777777" w:rsidR="00A71D39" w:rsidRDefault="00000000">
      <w:pPr>
        <w:pStyle w:val="Heading1"/>
      </w:pPr>
      <w:r>
        <w:lastRenderedPageBreak/>
        <w:t>4. Validation of the Google Trends Stitching and Scaling Methodology</w:t>
      </w:r>
    </w:p>
    <w:p w14:paraId="7D3C07A0" w14:textId="77777777" w:rsidR="00A71D39" w:rsidRDefault="00000000">
      <w:r>
        <w:t>This section documents and validates the procedure used to convert the manually downloaded, window-limited Google Trends pulls into a single continuous, common-scale weekly panel. It is written so that the text, equations, and tables can be transferred directly into the research paper's Data and Methods section. All quantitative results in Section 4.6 are produced by the project's own calibration test-suite (src/data/validate_stitch.py, referred to as Gate A) run on the current raw inputs.</w:t>
      </w:r>
    </w:p>
    <w:p w14:paraId="02FD88C7" w14:textId="77777777" w:rsidR="00A71D39" w:rsidRDefault="00000000">
      <w:pPr>
        <w:pStyle w:val="Heading2"/>
      </w:pPr>
      <w:r>
        <w:t>4.1 Problem statement</w:t>
      </w:r>
    </w:p>
    <w:p w14:paraId="5374F350" w14:textId="77777777" w:rsidR="00A71D39" w:rsidRDefault="00000000">
      <w:r>
        <w:t>Google Search Volume (GSV) returned by Google Trends is a relative index: within any single query, the series are divided by their joint maximum and multiplied by 100, so the value 100 marks the peak cell of that particular download. Two limitations follow. First, Google Trends restricts the number of search terms per query (five) and returns a fixed number of points per window, so covering 49 crops over a decade requires many separate downloads that are each on their own arbitrary 0-100 scale. Second, the index is estimated from a sample of searches, so repeated or adjacent downloads of the same week differ by sampling noise. The target series is constructed by downloading G = 12 crop groups, each as W = 19 overlapping one-year windows (p01-p19) that advance by six months, giving roughly a 26-week overlap between neighbours, spanning 2015-12-27 to 2025-12-28.</w:t>
      </w:r>
    </w:p>
    <w:p w14:paraId="48A726AC" w14:textId="77777777" w:rsidR="00A71D39" w:rsidRDefault="00000000">
      <w:pPr>
        <w:pStyle w:val="Heading2"/>
      </w:pPr>
      <w:r>
        <w:t>4.2 Within-group chaining by overlap rescaling (Phase 1)</w:t>
      </w:r>
    </w:p>
    <w:p w14:paraId="4F836076" w14:textId="77777777" w:rsidR="00A71D39" w:rsidRDefault="00000000">
      <w:r>
        <w:t>Because Google applies a single multiplicative normalisation constant to every series in a given query window, two overlapping windows of the same group differ on their shared weeks by exactly one positive scalar. Recovering that scalar therefore reconstructs a consistent series. For each seam joining the running series S to an incoming window X over their overlapping weeks O and shared crops C, a single pooled scale factor is estimated as</w:t>
      </w:r>
    </w:p>
    <w:p w14:paraId="7E186FBF" w14:textId="77777777" w:rsidR="00A71D39" w:rsidRPr="007B2932" w:rsidRDefault="00000000">
      <w:pPr>
        <w:rPr>
          <w:lang w:val="fr-FR"/>
        </w:rPr>
      </w:pPr>
      <w:r>
        <w:t xml:space="preserve">        </w:t>
      </w:r>
      <w:proofErr w:type="gramStart"/>
      <w:r>
        <w:t>α</w:t>
      </w:r>
      <w:r w:rsidRPr="007B2932">
        <w:rPr>
          <w:lang w:val="fr-FR"/>
        </w:rPr>
        <w:t xml:space="preserve">  =</w:t>
      </w:r>
      <w:proofErr w:type="gramEnd"/>
      <w:r w:rsidRPr="007B2932">
        <w:rPr>
          <w:lang w:val="fr-FR"/>
        </w:rPr>
        <w:t xml:space="preserve">  </w:t>
      </w:r>
      <w:r>
        <w:t>Σ</w:t>
      </w:r>
      <w:r w:rsidRPr="007B2932">
        <w:rPr>
          <w:lang w:val="fr-FR"/>
        </w:rPr>
        <w:t xml:space="preserve"> S(</w:t>
      </w:r>
      <w:proofErr w:type="spellStart"/>
      <w:proofErr w:type="gramStart"/>
      <w:r w:rsidRPr="007B2932">
        <w:rPr>
          <w:lang w:val="fr-FR"/>
        </w:rPr>
        <w:t>t,c</w:t>
      </w:r>
      <w:proofErr w:type="spellEnd"/>
      <w:r w:rsidRPr="007B2932">
        <w:rPr>
          <w:lang w:val="fr-FR"/>
        </w:rPr>
        <w:t>)  /</w:t>
      </w:r>
      <w:proofErr w:type="gramEnd"/>
      <w:r w:rsidRPr="007B2932">
        <w:rPr>
          <w:lang w:val="fr-FR"/>
        </w:rPr>
        <w:t xml:space="preserve">  </w:t>
      </w:r>
      <w:r>
        <w:t>Σ</w:t>
      </w:r>
      <w:r w:rsidRPr="007B2932">
        <w:rPr>
          <w:lang w:val="fr-FR"/>
        </w:rPr>
        <w:t xml:space="preserve"> X(</w:t>
      </w:r>
      <w:proofErr w:type="spellStart"/>
      <w:proofErr w:type="gramStart"/>
      <w:r w:rsidRPr="007B2932">
        <w:rPr>
          <w:lang w:val="fr-FR"/>
        </w:rPr>
        <w:t>t,c</w:t>
      </w:r>
      <w:proofErr w:type="spellEnd"/>
      <w:r w:rsidRPr="007B2932">
        <w:rPr>
          <w:lang w:val="fr-FR"/>
        </w:rPr>
        <w:t xml:space="preserve">),   </w:t>
      </w:r>
      <w:proofErr w:type="gramEnd"/>
      <w:r w:rsidRPr="007B2932">
        <w:rPr>
          <w:lang w:val="fr-FR"/>
        </w:rPr>
        <w:t xml:space="preserve">  (</w:t>
      </w:r>
      <w:proofErr w:type="spellStart"/>
      <w:proofErr w:type="gramStart"/>
      <w:r w:rsidRPr="007B2932">
        <w:rPr>
          <w:lang w:val="fr-FR"/>
        </w:rPr>
        <w:t>t,c</w:t>
      </w:r>
      <w:proofErr w:type="spellEnd"/>
      <w:proofErr w:type="gramEnd"/>
      <w:r w:rsidRPr="007B2932">
        <w:rPr>
          <w:lang w:val="fr-FR"/>
        </w:rPr>
        <w:t>) ∈ O × C,</w:t>
      </w:r>
    </w:p>
    <w:p w14:paraId="0A83ED46" w14:textId="77777777" w:rsidR="00A71D39" w:rsidRDefault="00000000">
      <w:r>
        <w:t>i.e. the ratio of summed values (ratio-of-means) pooled across all crops and all overlap weeks. The incoming window is rescaled X ← αX and only its new (non-overlapping) tail is appended; the earlier window is retained on shared dates. Pooling across crops is statistically efficient and well posed here precisely because the same α applies to every crop in the window, so the many shared cells act as repeated measurements of one unknown. A robust alternative estimator, the median of the per-cell ratios α = median(S/X), is also implemented and is used for the sensitivity check in Section 4.6.</w:t>
      </w:r>
    </w:p>
    <w:p w14:paraId="023245B7" w14:textId="77777777" w:rsidR="00A71D39" w:rsidRDefault="00000000">
      <w:pPr>
        <w:pStyle w:val="Heading2"/>
      </w:pPr>
      <w:r>
        <w:t>4.3 Cross-group anchoring (Phase 2)</w:t>
      </w:r>
    </w:p>
    <w:p w14:paraId="5DA92232" w14:textId="77777777" w:rsidR="00A71D39" w:rsidRDefault="00000000">
      <w:r>
        <w:t xml:space="preserve">After Phase 1 each group is internally consistent but still on its own absolute scale. Groups are placed on a common scale using bridge (anchor) crops that appear in more than one group. Cucumber is included in every group for this purpose; group g3 additionally shares tomato with </w:t>
      </w:r>
      <w:r>
        <w:lastRenderedPageBreak/>
        <w:t>the reference group. For each non-reference group, one ratio-of-means factor is computed per available anchor against the reference group g1 and the factors are averaged, so that no single high-volume anchor dominates the calibration. Every column of the group is then multiplied by this averaged factor.</w:t>
      </w:r>
    </w:p>
    <w:p w14:paraId="3C91B228" w14:textId="77777777" w:rsidR="00A71D39" w:rsidRDefault="00000000">
      <w:pPr>
        <w:pStyle w:val="Heading2"/>
      </w:pPr>
      <w:r>
        <w:t>4.4 Assembly and normalisation (Phase 3)</w:t>
      </w:r>
    </w:p>
    <w:p w14:paraId="3C6C78C8" w14:textId="77777777" w:rsidR="00A71D39" w:rsidRDefault="00000000">
      <w:r>
        <w:t>Crops that appear in several groups are de-duplicated by keeping the copy from the first group in which they occur (reference group first). The unique crop columns are concatenated and the assembled panel is rescaled by a single global constant so the overall maximum is 100. This final renormalisation is purely cosmetic and preserves all relative structure; downstream the panel is in any case standardised per crop with a leakage-safe RobustScaler fit on the training fold only.</w:t>
      </w:r>
    </w:p>
    <w:p w14:paraId="286258BD" w14:textId="77777777" w:rsidR="00A71D39" w:rsidRDefault="00000000">
      <w:pPr>
        <w:pStyle w:val="Heading2"/>
      </w:pPr>
      <w:r>
        <w:t>4.5 Relationship to established methods</w:t>
      </w:r>
    </w:p>
    <w:p w14:paraId="5FF31A75" w14:textId="77777777" w:rsidR="00A71D39" w:rsidRDefault="00000000">
      <w:r>
        <w:t>The procedure follows the standard overlap-rescaling (“chaining”) approach for building long Google Trends series and is consistent with the published literature, with the design choices justified below.</w:t>
      </w:r>
    </w:p>
    <w:p w14:paraId="0C4AE581" w14:textId="77777777" w:rsidR="00A71D39" w:rsidRDefault="00000000">
      <w:pPr>
        <w:pStyle w:val="ListBullet"/>
      </w:pPr>
      <w:r>
        <w:t>Multiplicative-only rescaling. Because Google's per-window normalisation is a pure multiplicative constant, a single ratio is the theoretically exact inverse of that transform (up to integer rounding and sampling noise). This matches the chain-and-rescale procedure of Kristoufek (2015) and the overlap-ratio chaining of practitioner tools such as Longtrends. It deliberately omits the additive level term used in the regression-based construction of Bleher and Dimpfl (2022); for purely multiplicative data an intercept can introduce a baseline shift that is not present in the data.</w:t>
      </w:r>
    </w:p>
    <w:p w14:paraId="30534807" w14:textId="77777777" w:rsidR="00A71D39" w:rsidRDefault="00000000">
      <w:pPr>
        <w:pStyle w:val="ListBullet"/>
      </w:pPr>
      <w:r>
        <w:t>Pooled / dual estimator. Pooling shared cells to estimate one factor per seam, and supporting both ratio-of-means and a robust median-of-ratios estimator, mirrors common practice and enables the explicit robustness check reported below.</w:t>
      </w:r>
    </w:p>
    <w:p w14:paraId="05FEF6EF" w14:textId="77777777" w:rsidR="00A71D39" w:rsidRDefault="00000000">
      <w:pPr>
        <w:pStyle w:val="ListBullet"/>
      </w:pPr>
      <w:r>
        <w:t>Cross-group anchoring. Using a common bridge term to align separate queries, and thereby exceed the five-term limit, is the method described by Bleher and Dimpfl (2022).</w:t>
      </w:r>
    </w:p>
    <w:p w14:paraId="2153DFC1" w14:textId="77777777" w:rsidR="00A71D39" w:rsidRDefault="00000000">
      <w:pPr>
        <w:pStyle w:val="ListBullet"/>
      </w:pPr>
      <w:r>
        <w:t>Single-frequency design. The two-step frequency-harmonisation of Eichenauer et al. (2022), which uses Chow-Lin (1971) disaggregation to reconcile daily, weekly, and monthly pulls, is not required here because every window is downloaded at the same native weekly frequency; there is no cross-frequency inconsistency to correct.</w:t>
      </w:r>
    </w:p>
    <w:p w14:paraId="29BBBA0B" w14:textId="77777777" w:rsidR="00A71D39" w:rsidRDefault="00000000">
      <w:pPr>
        <w:pStyle w:val="ListBullet"/>
      </w:pPr>
      <w:r w:rsidRPr="007B2932">
        <w:rPr>
          <w:lang w:val="fr-FR"/>
        </w:rPr>
        <w:t xml:space="preserve">Sampling-noise </w:t>
      </w:r>
      <w:proofErr w:type="spellStart"/>
      <w:r w:rsidRPr="007B2932">
        <w:rPr>
          <w:lang w:val="fr-FR"/>
        </w:rPr>
        <w:t>reduction</w:t>
      </w:r>
      <w:proofErr w:type="spellEnd"/>
      <w:r w:rsidRPr="007B2932">
        <w:rPr>
          <w:lang w:val="fr-FR"/>
        </w:rPr>
        <w:t xml:space="preserve">. Eichenauer et al. </w:t>
      </w:r>
      <w:r>
        <w:t>(2022) reduce sampling noise by averaging ≥12 repeated draws per series. The present panel uses a single pull per window; the residual sampling jitter is therefore quantified rather than averaged out (Section 4.6, test A5) and treated as a reported limitation (Section 4.7).</w:t>
      </w:r>
    </w:p>
    <w:p w14:paraId="21DD040D" w14:textId="77777777" w:rsidR="00A71D39" w:rsidRDefault="00000000">
      <w:pPr>
        <w:pStyle w:val="Heading2"/>
      </w:pPr>
      <w:r>
        <w:t>4.6 Empirical validation (Gate A)</w:t>
      </w:r>
    </w:p>
    <w:p w14:paraId="36F12836" w14:textId="77777777" w:rsidR="00A71D39" w:rsidRDefault="00000000">
      <w:r>
        <w:t>The stitching is validated directly, before any forecasting model is trained, using held-out overlap reconstruction and several robustness checks. Results below are for the current raw inputs (228 CSVs; 12 groups × 19 windows).</w:t>
      </w:r>
    </w:p>
    <w:p w14:paraId="5CA07004" w14:textId="77777777" w:rsidR="00A71D39" w:rsidRDefault="00000000">
      <w:pPr>
        <w:pStyle w:val="Heading3"/>
      </w:pPr>
      <w:r>
        <w:lastRenderedPageBreak/>
        <w:t>A0 — Seam integrity</w:t>
      </w:r>
    </w:p>
    <w:p w14:paraId="11F61F79" w14:textId="77777777" w:rsidR="00A71D39" w:rsidRDefault="00000000">
      <w:r>
        <w:t>No empty windows and no un-scaled (low-overlap) joins were detected: every one of the within-group seams was calibrated from a valid overlap. This is a hard gate, because a single broken seam would place every later window on an uncalibrated baseline.</w:t>
      </w:r>
    </w:p>
    <w:p w14:paraId="2A222C84" w14:textId="77777777" w:rsidR="00A71D39" w:rsidRDefault="00000000">
      <w:pPr>
        <w:pStyle w:val="Heading3"/>
      </w:pPr>
      <w:r>
        <w:t>A1 — Held-out overlap reconstruction error</w:t>
      </w:r>
    </w:p>
    <w:p w14:paraId="7C128955" w14:textId="77777777" w:rsidR="00A71D39" w:rsidRDefault="00000000">
      <w:r>
        <w:t>For each seam, after rescaling, the relative disagreement (αX − S)/S is measured on the shared weeks; small, unbiased residuals indicate that one multiplicative factor is the correct model for that seam.</w:t>
      </w:r>
    </w:p>
    <w:p w14:paraId="6E2B89B9" w14:textId="77777777" w:rsidR="00A71D39" w:rsidRDefault="00000000">
      <w:r>
        <w:rPr>
          <w:b/>
          <w:i/>
          <w:sz w:val="18"/>
        </w:rPr>
        <w:t>Table 4.1. Phase-1 overlap reconstruction error.</w:t>
      </w:r>
    </w:p>
    <w:tbl>
      <w:tblPr>
        <w:tblStyle w:val="TableGrid"/>
        <w:tblW w:w="0" w:type="auto"/>
        <w:tblLook w:val="04A0" w:firstRow="1" w:lastRow="0" w:firstColumn="1" w:lastColumn="0" w:noHBand="0" w:noVBand="1"/>
      </w:tblPr>
      <w:tblGrid>
        <w:gridCol w:w="4320"/>
        <w:gridCol w:w="4320"/>
      </w:tblGrid>
      <w:tr w:rsidR="00A71D39" w14:paraId="6CA76C74" w14:textId="77777777">
        <w:tc>
          <w:tcPr>
            <w:tcW w:w="4320" w:type="dxa"/>
          </w:tcPr>
          <w:p w14:paraId="174F6430" w14:textId="77777777" w:rsidR="00A71D39" w:rsidRDefault="00000000">
            <w:r>
              <w:rPr>
                <w:b/>
                <w:sz w:val="18"/>
              </w:rPr>
              <w:t>Metric</w:t>
            </w:r>
          </w:p>
        </w:tc>
        <w:tc>
          <w:tcPr>
            <w:tcW w:w="4320" w:type="dxa"/>
          </w:tcPr>
          <w:p w14:paraId="5BC34127" w14:textId="77777777" w:rsidR="00A71D39" w:rsidRDefault="00000000">
            <w:r>
              <w:rPr>
                <w:b/>
                <w:sz w:val="18"/>
              </w:rPr>
              <w:t>Value</w:t>
            </w:r>
          </w:p>
        </w:tc>
      </w:tr>
      <w:tr w:rsidR="00A71D39" w14:paraId="71FB5645" w14:textId="77777777">
        <w:tc>
          <w:tcPr>
            <w:tcW w:w="4320" w:type="dxa"/>
          </w:tcPr>
          <w:p w14:paraId="6DF87E92" w14:textId="77777777" w:rsidR="00A71D39" w:rsidRDefault="00000000">
            <w:r>
              <w:rPr>
                <w:sz w:val="18"/>
              </w:rPr>
              <w:t>Seams evaluated</w:t>
            </w:r>
          </w:p>
        </w:tc>
        <w:tc>
          <w:tcPr>
            <w:tcW w:w="4320" w:type="dxa"/>
          </w:tcPr>
          <w:p w14:paraId="711C9E8C" w14:textId="77777777" w:rsidR="00A71D39" w:rsidRDefault="00000000">
            <w:r>
              <w:rPr>
                <w:sz w:val="18"/>
              </w:rPr>
              <w:t>216 (across 12 groups)</w:t>
            </w:r>
          </w:p>
        </w:tc>
      </w:tr>
      <w:tr w:rsidR="00A71D39" w14:paraId="4776CD7A" w14:textId="77777777">
        <w:tc>
          <w:tcPr>
            <w:tcW w:w="4320" w:type="dxa"/>
          </w:tcPr>
          <w:p w14:paraId="5229872E" w14:textId="77777777" w:rsidR="00A71D39" w:rsidRDefault="00000000">
            <w:r>
              <w:rPr>
                <w:sz w:val="18"/>
              </w:rPr>
              <w:t>Median overlap error (per crop-seam)</w:t>
            </w:r>
          </w:p>
        </w:tc>
        <w:tc>
          <w:tcPr>
            <w:tcW w:w="4320" w:type="dxa"/>
          </w:tcPr>
          <w:p w14:paraId="1E33E221" w14:textId="77777777" w:rsidR="00A71D39" w:rsidRDefault="00000000">
            <w:r>
              <w:rPr>
                <w:sz w:val="18"/>
              </w:rPr>
              <w:t>0.65%</w:t>
            </w:r>
          </w:p>
        </w:tc>
      </w:tr>
      <w:tr w:rsidR="00A71D39" w14:paraId="4CE786D7" w14:textId="77777777">
        <w:tc>
          <w:tcPr>
            <w:tcW w:w="4320" w:type="dxa"/>
          </w:tcPr>
          <w:p w14:paraId="33B591B8" w14:textId="77777777" w:rsidR="00A71D39" w:rsidRDefault="00000000">
            <w:r>
              <w:rPr>
                <w:sz w:val="18"/>
              </w:rPr>
              <w:t>90th-percentile seam error</w:t>
            </w:r>
          </w:p>
        </w:tc>
        <w:tc>
          <w:tcPr>
            <w:tcW w:w="4320" w:type="dxa"/>
          </w:tcPr>
          <w:p w14:paraId="57A415DC" w14:textId="77777777" w:rsidR="00A71D39" w:rsidRDefault="00000000">
            <w:r>
              <w:rPr>
                <w:sz w:val="18"/>
              </w:rPr>
              <w:t>3.99%</w:t>
            </w:r>
          </w:p>
        </w:tc>
      </w:tr>
      <w:tr w:rsidR="00A71D39" w14:paraId="56F7C7C0" w14:textId="77777777">
        <w:tc>
          <w:tcPr>
            <w:tcW w:w="4320" w:type="dxa"/>
          </w:tcPr>
          <w:p w14:paraId="692CD1DA" w14:textId="77777777" w:rsidR="00A71D39" w:rsidRDefault="00000000">
            <w:r>
              <w:rPr>
                <w:sz w:val="18"/>
              </w:rPr>
              <w:t>Mean signed bias</w:t>
            </w:r>
          </w:p>
        </w:tc>
        <w:tc>
          <w:tcPr>
            <w:tcW w:w="4320" w:type="dxa"/>
          </w:tcPr>
          <w:p w14:paraId="777B79AD" w14:textId="77777777" w:rsidR="00A71D39" w:rsidRDefault="00000000">
            <w:r>
              <w:rPr>
                <w:sz w:val="18"/>
              </w:rPr>
              <w:t>+0.03%  (≈ 0: no systematic drift)</w:t>
            </w:r>
          </w:p>
        </w:tc>
      </w:tr>
      <w:tr w:rsidR="00A71D39" w14:paraId="18B3D6D6" w14:textId="77777777">
        <w:tc>
          <w:tcPr>
            <w:tcW w:w="4320" w:type="dxa"/>
          </w:tcPr>
          <w:p w14:paraId="7AB6EBC9" w14:textId="77777777" w:rsidR="00A71D39" w:rsidRDefault="00000000">
            <w:r>
              <w:rPr>
                <w:sz w:val="18"/>
              </w:rPr>
              <w:t>Seams exceeding the 15% gate</w:t>
            </w:r>
          </w:p>
        </w:tc>
        <w:tc>
          <w:tcPr>
            <w:tcW w:w="4320" w:type="dxa"/>
          </w:tcPr>
          <w:p w14:paraId="56807275" w14:textId="77777777" w:rsidR="00A71D39" w:rsidRDefault="00000000">
            <w:r>
              <w:rPr>
                <w:sz w:val="18"/>
              </w:rPr>
              <w:t>1 of 216  (g11, seam p16: 15.7%, 28 wks)</w:t>
            </w:r>
          </w:p>
        </w:tc>
      </w:tr>
    </w:tbl>
    <w:p w14:paraId="46458B89" w14:textId="77777777" w:rsidR="00A71D39" w:rsidRDefault="00A71D39"/>
    <w:p w14:paraId="7506DEA8" w14:textId="77777777" w:rsidR="00A71D39" w:rsidRDefault="00000000">
      <w:r>
        <w:t>The near-zero median error and negligible signed bias confirm that the single-factor multiplicative model reconstructs the overlaps to within Trends sampling noise. One seam (g11 p16) marginally exceeds the 15% screening threshold and is flagged for re-download / inspection.</w:t>
      </w:r>
    </w:p>
    <w:p w14:paraId="2398D5B5" w14:textId="77777777" w:rsidR="00A71D39" w:rsidRDefault="00000000">
      <w:r>
        <w:rPr>
          <w:noProof/>
        </w:rPr>
        <w:drawing>
          <wp:inline distT="0" distB="0" distL="0" distR="0" wp14:anchorId="46497918" wp14:editId="0BB75B93">
            <wp:extent cx="548640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seam_error.png"/>
                    <pic:cNvPicPr/>
                  </pic:nvPicPr>
                  <pic:blipFill>
                    <a:blip r:embed="rId6"/>
                    <a:stretch>
                      <a:fillRect/>
                    </a:stretch>
                  </pic:blipFill>
                  <pic:spPr>
                    <a:xfrm>
                      <a:off x="0" y="0"/>
                      <a:ext cx="5486400" cy="2194560"/>
                    </a:xfrm>
                    <a:prstGeom prst="rect">
                      <a:avLst/>
                    </a:prstGeom>
                  </pic:spPr>
                </pic:pic>
              </a:graphicData>
            </a:graphic>
          </wp:inline>
        </w:drawing>
      </w:r>
    </w:p>
    <w:p w14:paraId="394B5234" w14:textId="77777777" w:rsidR="00A71D39" w:rsidRDefault="00000000">
      <w:r>
        <w:rPr>
          <w:i/>
          <w:sz w:val="18"/>
        </w:rPr>
        <w:t>Figure 4.1. Phase-1 seam reconstruction error by window index, by group, against the 15% screening gate.</w:t>
      </w:r>
    </w:p>
    <w:p w14:paraId="199D5961" w14:textId="77777777" w:rsidR="00A71D39" w:rsidRDefault="00000000">
      <w:pPr>
        <w:pStyle w:val="Heading3"/>
      </w:pPr>
      <w:r>
        <w:t>A2 — Cross-group anchor robustness</w:t>
      </w:r>
    </w:p>
    <w:p w14:paraId="447A9277" w14:textId="77777777" w:rsidR="00A71D39" w:rsidRDefault="00000000">
      <w:r>
        <w:t>Each group's cross-scale factor relative to g1 is reported below. Where more than one anchor is available, a leave-one-out comparison tests how much the calibration depends on the anchor choice.</w:t>
      </w:r>
    </w:p>
    <w:p w14:paraId="2D51A9DC" w14:textId="77777777" w:rsidR="00A71D39" w:rsidRDefault="00000000">
      <w:r>
        <w:rPr>
          <w:b/>
          <w:i/>
          <w:sz w:val="18"/>
        </w:rPr>
        <w:t>Table 4.2. Cross-group scale factors to the reference group g1.</w:t>
      </w:r>
    </w:p>
    <w:tbl>
      <w:tblPr>
        <w:tblStyle w:val="TableGrid"/>
        <w:tblW w:w="0" w:type="auto"/>
        <w:tblLook w:val="04A0" w:firstRow="1" w:lastRow="0" w:firstColumn="1" w:lastColumn="0" w:noHBand="0" w:noVBand="1"/>
      </w:tblPr>
      <w:tblGrid>
        <w:gridCol w:w="1728"/>
        <w:gridCol w:w="1728"/>
        <w:gridCol w:w="1728"/>
        <w:gridCol w:w="1728"/>
        <w:gridCol w:w="1728"/>
      </w:tblGrid>
      <w:tr w:rsidR="00A71D39" w14:paraId="64125BA6" w14:textId="77777777">
        <w:tc>
          <w:tcPr>
            <w:tcW w:w="1728" w:type="dxa"/>
          </w:tcPr>
          <w:p w14:paraId="30EE3377" w14:textId="77777777" w:rsidR="00A71D39" w:rsidRDefault="00000000">
            <w:r>
              <w:rPr>
                <w:b/>
                <w:sz w:val="18"/>
              </w:rPr>
              <w:lastRenderedPageBreak/>
              <w:t>Group</w:t>
            </w:r>
          </w:p>
        </w:tc>
        <w:tc>
          <w:tcPr>
            <w:tcW w:w="1728" w:type="dxa"/>
          </w:tcPr>
          <w:p w14:paraId="3D392E34" w14:textId="77777777" w:rsidR="00A71D39" w:rsidRDefault="00000000">
            <w:r>
              <w:rPr>
                <w:b/>
                <w:sz w:val="18"/>
              </w:rPr>
              <w:t>Anchor(s)</w:t>
            </w:r>
          </w:p>
        </w:tc>
        <w:tc>
          <w:tcPr>
            <w:tcW w:w="1728" w:type="dxa"/>
          </w:tcPr>
          <w:p w14:paraId="55AE4FCA" w14:textId="77777777" w:rsidR="00A71D39" w:rsidRDefault="00000000">
            <w:r>
              <w:rPr>
                <w:b/>
                <w:sz w:val="18"/>
              </w:rPr>
              <w:t>Factor (min–max)</w:t>
            </w:r>
          </w:p>
        </w:tc>
        <w:tc>
          <w:tcPr>
            <w:tcW w:w="1728" w:type="dxa"/>
          </w:tcPr>
          <w:p w14:paraId="1B37DC7D" w14:textId="77777777" w:rsidR="00A71D39" w:rsidRDefault="00000000">
            <w:r>
              <w:rPr>
                <w:b/>
                <w:sz w:val="18"/>
              </w:rPr>
              <w:t>Max/min ratio</w:t>
            </w:r>
          </w:p>
        </w:tc>
        <w:tc>
          <w:tcPr>
            <w:tcW w:w="1728" w:type="dxa"/>
          </w:tcPr>
          <w:p w14:paraId="491274A9" w14:textId="77777777" w:rsidR="00A71D39" w:rsidRDefault="00000000">
            <w:r>
              <w:rPr>
                <w:b/>
                <w:sz w:val="18"/>
              </w:rPr>
              <w:t>LOO possible</w:t>
            </w:r>
          </w:p>
        </w:tc>
      </w:tr>
      <w:tr w:rsidR="00A71D39" w14:paraId="2C0E0C93" w14:textId="77777777">
        <w:tc>
          <w:tcPr>
            <w:tcW w:w="1728" w:type="dxa"/>
          </w:tcPr>
          <w:p w14:paraId="2F52CA7E" w14:textId="77777777" w:rsidR="00A71D39" w:rsidRDefault="00000000">
            <w:r>
              <w:rPr>
                <w:sz w:val="18"/>
              </w:rPr>
              <w:t>g2</w:t>
            </w:r>
          </w:p>
        </w:tc>
        <w:tc>
          <w:tcPr>
            <w:tcW w:w="1728" w:type="dxa"/>
          </w:tcPr>
          <w:p w14:paraId="162F1FCA" w14:textId="77777777" w:rsidR="00A71D39" w:rsidRDefault="00000000">
            <w:r>
              <w:rPr>
                <w:sz w:val="18"/>
              </w:rPr>
              <w:t>cucumber</w:t>
            </w:r>
          </w:p>
        </w:tc>
        <w:tc>
          <w:tcPr>
            <w:tcW w:w="1728" w:type="dxa"/>
          </w:tcPr>
          <w:p w14:paraId="28E33DF5" w14:textId="77777777" w:rsidR="00A71D39" w:rsidRDefault="00000000">
            <w:r>
              <w:rPr>
                <w:sz w:val="18"/>
              </w:rPr>
              <w:t>1.278</w:t>
            </w:r>
          </w:p>
        </w:tc>
        <w:tc>
          <w:tcPr>
            <w:tcW w:w="1728" w:type="dxa"/>
          </w:tcPr>
          <w:p w14:paraId="30CCB4F9" w14:textId="77777777" w:rsidR="00A71D39" w:rsidRDefault="00000000">
            <w:r>
              <w:rPr>
                <w:sz w:val="18"/>
              </w:rPr>
              <w:t>1.000</w:t>
            </w:r>
          </w:p>
        </w:tc>
        <w:tc>
          <w:tcPr>
            <w:tcW w:w="1728" w:type="dxa"/>
          </w:tcPr>
          <w:p w14:paraId="38478D8C" w14:textId="77777777" w:rsidR="00A71D39" w:rsidRDefault="00000000">
            <w:r>
              <w:rPr>
                <w:sz w:val="18"/>
              </w:rPr>
              <w:t>No (single)</w:t>
            </w:r>
          </w:p>
        </w:tc>
      </w:tr>
      <w:tr w:rsidR="00A71D39" w14:paraId="701B8C68" w14:textId="77777777">
        <w:tc>
          <w:tcPr>
            <w:tcW w:w="1728" w:type="dxa"/>
          </w:tcPr>
          <w:p w14:paraId="32053FA4" w14:textId="77777777" w:rsidR="00A71D39" w:rsidRDefault="00000000">
            <w:r>
              <w:rPr>
                <w:sz w:val="18"/>
              </w:rPr>
              <w:t>g3</w:t>
            </w:r>
          </w:p>
        </w:tc>
        <w:tc>
          <w:tcPr>
            <w:tcW w:w="1728" w:type="dxa"/>
          </w:tcPr>
          <w:p w14:paraId="0E67410F" w14:textId="77777777" w:rsidR="00A71D39" w:rsidRDefault="00000000">
            <w:r>
              <w:rPr>
                <w:sz w:val="18"/>
              </w:rPr>
              <w:t>cucumber, tomato</w:t>
            </w:r>
          </w:p>
        </w:tc>
        <w:tc>
          <w:tcPr>
            <w:tcW w:w="1728" w:type="dxa"/>
          </w:tcPr>
          <w:p w14:paraId="2A37A50E" w14:textId="77777777" w:rsidR="00A71D39" w:rsidRDefault="00000000">
            <w:r>
              <w:rPr>
                <w:sz w:val="18"/>
              </w:rPr>
              <w:t>0.367–0.368</w:t>
            </w:r>
          </w:p>
        </w:tc>
        <w:tc>
          <w:tcPr>
            <w:tcW w:w="1728" w:type="dxa"/>
          </w:tcPr>
          <w:p w14:paraId="33C3E44D" w14:textId="77777777" w:rsidR="00A71D39" w:rsidRDefault="00000000">
            <w:r>
              <w:rPr>
                <w:sz w:val="18"/>
              </w:rPr>
              <w:t>1.002</w:t>
            </w:r>
          </w:p>
        </w:tc>
        <w:tc>
          <w:tcPr>
            <w:tcW w:w="1728" w:type="dxa"/>
          </w:tcPr>
          <w:p w14:paraId="7D1A2C1F" w14:textId="77777777" w:rsidR="00A71D39" w:rsidRDefault="00000000">
            <w:r>
              <w:rPr>
                <w:sz w:val="18"/>
              </w:rPr>
              <w:t>Yes</w:t>
            </w:r>
          </w:p>
        </w:tc>
      </w:tr>
      <w:tr w:rsidR="00A71D39" w14:paraId="4B354D01" w14:textId="77777777">
        <w:tc>
          <w:tcPr>
            <w:tcW w:w="1728" w:type="dxa"/>
          </w:tcPr>
          <w:p w14:paraId="6BE66864" w14:textId="77777777" w:rsidR="00A71D39" w:rsidRDefault="00000000">
            <w:r>
              <w:rPr>
                <w:sz w:val="18"/>
              </w:rPr>
              <w:t>g4</w:t>
            </w:r>
          </w:p>
        </w:tc>
        <w:tc>
          <w:tcPr>
            <w:tcW w:w="1728" w:type="dxa"/>
          </w:tcPr>
          <w:p w14:paraId="013FB2DA" w14:textId="77777777" w:rsidR="00A71D39" w:rsidRDefault="00000000">
            <w:r>
              <w:rPr>
                <w:sz w:val="18"/>
              </w:rPr>
              <w:t>cucumber</w:t>
            </w:r>
          </w:p>
        </w:tc>
        <w:tc>
          <w:tcPr>
            <w:tcW w:w="1728" w:type="dxa"/>
          </w:tcPr>
          <w:p w14:paraId="03BD05AE" w14:textId="77777777" w:rsidR="00A71D39" w:rsidRDefault="00000000">
            <w:r>
              <w:rPr>
                <w:sz w:val="18"/>
              </w:rPr>
              <w:t>1.850</w:t>
            </w:r>
          </w:p>
        </w:tc>
        <w:tc>
          <w:tcPr>
            <w:tcW w:w="1728" w:type="dxa"/>
          </w:tcPr>
          <w:p w14:paraId="058F8556" w14:textId="77777777" w:rsidR="00A71D39" w:rsidRDefault="00000000">
            <w:r>
              <w:rPr>
                <w:sz w:val="18"/>
              </w:rPr>
              <w:t>1.000</w:t>
            </w:r>
          </w:p>
        </w:tc>
        <w:tc>
          <w:tcPr>
            <w:tcW w:w="1728" w:type="dxa"/>
          </w:tcPr>
          <w:p w14:paraId="6DFAD7CA" w14:textId="77777777" w:rsidR="00A71D39" w:rsidRDefault="00000000">
            <w:r>
              <w:rPr>
                <w:sz w:val="18"/>
              </w:rPr>
              <w:t>No (single)</w:t>
            </w:r>
          </w:p>
        </w:tc>
      </w:tr>
      <w:tr w:rsidR="00A71D39" w14:paraId="72BF999E" w14:textId="77777777">
        <w:tc>
          <w:tcPr>
            <w:tcW w:w="1728" w:type="dxa"/>
          </w:tcPr>
          <w:p w14:paraId="56D80809" w14:textId="77777777" w:rsidR="00A71D39" w:rsidRDefault="00000000">
            <w:r>
              <w:rPr>
                <w:sz w:val="18"/>
              </w:rPr>
              <w:t>g5</w:t>
            </w:r>
          </w:p>
        </w:tc>
        <w:tc>
          <w:tcPr>
            <w:tcW w:w="1728" w:type="dxa"/>
          </w:tcPr>
          <w:p w14:paraId="38B937F5" w14:textId="77777777" w:rsidR="00A71D39" w:rsidRDefault="00000000">
            <w:r>
              <w:rPr>
                <w:sz w:val="18"/>
              </w:rPr>
              <w:t>cucumber</w:t>
            </w:r>
          </w:p>
        </w:tc>
        <w:tc>
          <w:tcPr>
            <w:tcW w:w="1728" w:type="dxa"/>
          </w:tcPr>
          <w:p w14:paraId="34A4810E" w14:textId="77777777" w:rsidR="00A71D39" w:rsidRDefault="00000000">
            <w:r>
              <w:rPr>
                <w:sz w:val="18"/>
              </w:rPr>
              <w:t>0.280</w:t>
            </w:r>
          </w:p>
        </w:tc>
        <w:tc>
          <w:tcPr>
            <w:tcW w:w="1728" w:type="dxa"/>
          </w:tcPr>
          <w:p w14:paraId="25F7C1C4" w14:textId="77777777" w:rsidR="00A71D39" w:rsidRDefault="00000000">
            <w:r>
              <w:rPr>
                <w:sz w:val="18"/>
              </w:rPr>
              <w:t>1.000</w:t>
            </w:r>
          </w:p>
        </w:tc>
        <w:tc>
          <w:tcPr>
            <w:tcW w:w="1728" w:type="dxa"/>
          </w:tcPr>
          <w:p w14:paraId="2CD14137" w14:textId="77777777" w:rsidR="00A71D39" w:rsidRDefault="00000000">
            <w:r>
              <w:rPr>
                <w:sz w:val="18"/>
              </w:rPr>
              <w:t>No (single)</w:t>
            </w:r>
          </w:p>
        </w:tc>
      </w:tr>
      <w:tr w:rsidR="00A71D39" w14:paraId="6CC4B00D" w14:textId="77777777">
        <w:tc>
          <w:tcPr>
            <w:tcW w:w="1728" w:type="dxa"/>
          </w:tcPr>
          <w:p w14:paraId="3B753CE8" w14:textId="77777777" w:rsidR="00A71D39" w:rsidRDefault="00000000">
            <w:r>
              <w:rPr>
                <w:sz w:val="18"/>
              </w:rPr>
              <w:t>g6</w:t>
            </w:r>
          </w:p>
        </w:tc>
        <w:tc>
          <w:tcPr>
            <w:tcW w:w="1728" w:type="dxa"/>
          </w:tcPr>
          <w:p w14:paraId="1BAE6986" w14:textId="77777777" w:rsidR="00A71D39" w:rsidRDefault="00000000">
            <w:r>
              <w:rPr>
                <w:sz w:val="18"/>
              </w:rPr>
              <w:t>cucumber</w:t>
            </w:r>
          </w:p>
        </w:tc>
        <w:tc>
          <w:tcPr>
            <w:tcW w:w="1728" w:type="dxa"/>
          </w:tcPr>
          <w:p w14:paraId="0D12F9F9" w14:textId="77777777" w:rsidR="00A71D39" w:rsidRDefault="00000000">
            <w:r>
              <w:rPr>
                <w:sz w:val="18"/>
              </w:rPr>
              <w:t>0.335</w:t>
            </w:r>
          </w:p>
        </w:tc>
        <w:tc>
          <w:tcPr>
            <w:tcW w:w="1728" w:type="dxa"/>
          </w:tcPr>
          <w:p w14:paraId="2C0C7317" w14:textId="77777777" w:rsidR="00A71D39" w:rsidRDefault="00000000">
            <w:r>
              <w:rPr>
                <w:sz w:val="18"/>
              </w:rPr>
              <w:t>1.000</w:t>
            </w:r>
          </w:p>
        </w:tc>
        <w:tc>
          <w:tcPr>
            <w:tcW w:w="1728" w:type="dxa"/>
          </w:tcPr>
          <w:p w14:paraId="74A80495" w14:textId="77777777" w:rsidR="00A71D39" w:rsidRDefault="00000000">
            <w:r>
              <w:rPr>
                <w:sz w:val="18"/>
              </w:rPr>
              <w:t>No (single)</w:t>
            </w:r>
          </w:p>
        </w:tc>
      </w:tr>
      <w:tr w:rsidR="00A71D39" w14:paraId="06BC90C8" w14:textId="77777777">
        <w:tc>
          <w:tcPr>
            <w:tcW w:w="1728" w:type="dxa"/>
          </w:tcPr>
          <w:p w14:paraId="50A2E087" w14:textId="77777777" w:rsidR="00A71D39" w:rsidRDefault="00000000">
            <w:r>
              <w:rPr>
                <w:sz w:val="18"/>
              </w:rPr>
              <w:t>g7</w:t>
            </w:r>
          </w:p>
        </w:tc>
        <w:tc>
          <w:tcPr>
            <w:tcW w:w="1728" w:type="dxa"/>
          </w:tcPr>
          <w:p w14:paraId="138C73FC" w14:textId="77777777" w:rsidR="00A71D39" w:rsidRDefault="00000000">
            <w:r>
              <w:rPr>
                <w:sz w:val="18"/>
              </w:rPr>
              <w:t>cucumber</w:t>
            </w:r>
          </w:p>
        </w:tc>
        <w:tc>
          <w:tcPr>
            <w:tcW w:w="1728" w:type="dxa"/>
          </w:tcPr>
          <w:p w14:paraId="0E4A5554" w14:textId="77777777" w:rsidR="00A71D39" w:rsidRDefault="00000000">
            <w:r>
              <w:rPr>
                <w:sz w:val="18"/>
              </w:rPr>
              <w:t>1.223</w:t>
            </w:r>
          </w:p>
        </w:tc>
        <w:tc>
          <w:tcPr>
            <w:tcW w:w="1728" w:type="dxa"/>
          </w:tcPr>
          <w:p w14:paraId="54B835A1" w14:textId="77777777" w:rsidR="00A71D39" w:rsidRDefault="00000000">
            <w:r>
              <w:rPr>
                <w:sz w:val="18"/>
              </w:rPr>
              <w:t>1.000</w:t>
            </w:r>
          </w:p>
        </w:tc>
        <w:tc>
          <w:tcPr>
            <w:tcW w:w="1728" w:type="dxa"/>
          </w:tcPr>
          <w:p w14:paraId="39EE5195" w14:textId="77777777" w:rsidR="00A71D39" w:rsidRDefault="00000000">
            <w:r>
              <w:rPr>
                <w:sz w:val="18"/>
              </w:rPr>
              <w:t>No (single)</w:t>
            </w:r>
          </w:p>
        </w:tc>
      </w:tr>
      <w:tr w:rsidR="00A71D39" w14:paraId="51FC7554" w14:textId="77777777">
        <w:tc>
          <w:tcPr>
            <w:tcW w:w="1728" w:type="dxa"/>
          </w:tcPr>
          <w:p w14:paraId="0B0AFF5C" w14:textId="77777777" w:rsidR="00A71D39" w:rsidRDefault="00000000">
            <w:r>
              <w:rPr>
                <w:sz w:val="18"/>
              </w:rPr>
              <w:t>g8</w:t>
            </w:r>
          </w:p>
        </w:tc>
        <w:tc>
          <w:tcPr>
            <w:tcW w:w="1728" w:type="dxa"/>
          </w:tcPr>
          <w:p w14:paraId="3FF31076" w14:textId="77777777" w:rsidR="00A71D39" w:rsidRDefault="00000000">
            <w:r>
              <w:rPr>
                <w:sz w:val="18"/>
              </w:rPr>
              <w:t>cucumber</w:t>
            </w:r>
          </w:p>
        </w:tc>
        <w:tc>
          <w:tcPr>
            <w:tcW w:w="1728" w:type="dxa"/>
          </w:tcPr>
          <w:p w14:paraId="6ACB66DE" w14:textId="77777777" w:rsidR="00A71D39" w:rsidRDefault="00000000">
            <w:r>
              <w:rPr>
                <w:sz w:val="18"/>
              </w:rPr>
              <w:t>0.108</w:t>
            </w:r>
          </w:p>
        </w:tc>
        <w:tc>
          <w:tcPr>
            <w:tcW w:w="1728" w:type="dxa"/>
          </w:tcPr>
          <w:p w14:paraId="183630FC" w14:textId="77777777" w:rsidR="00A71D39" w:rsidRDefault="00000000">
            <w:r>
              <w:rPr>
                <w:sz w:val="18"/>
              </w:rPr>
              <w:t>1.000</w:t>
            </w:r>
          </w:p>
        </w:tc>
        <w:tc>
          <w:tcPr>
            <w:tcW w:w="1728" w:type="dxa"/>
          </w:tcPr>
          <w:p w14:paraId="72020165" w14:textId="77777777" w:rsidR="00A71D39" w:rsidRDefault="00000000">
            <w:r>
              <w:rPr>
                <w:sz w:val="18"/>
              </w:rPr>
              <w:t>No (single)</w:t>
            </w:r>
          </w:p>
        </w:tc>
      </w:tr>
      <w:tr w:rsidR="00A71D39" w14:paraId="09BD45B9" w14:textId="77777777">
        <w:tc>
          <w:tcPr>
            <w:tcW w:w="1728" w:type="dxa"/>
          </w:tcPr>
          <w:p w14:paraId="5D2DF83F" w14:textId="77777777" w:rsidR="00A71D39" w:rsidRDefault="00000000">
            <w:r>
              <w:rPr>
                <w:sz w:val="18"/>
              </w:rPr>
              <w:t>g9</w:t>
            </w:r>
          </w:p>
        </w:tc>
        <w:tc>
          <w:tcPr>
            <w:tcW w:w="1728" w:type="dxa"/>
          </w:tcPr>
          <w:p w14:paraId="479975D5" w14:textId="77777777" w:rsidR="00A71D39" w:rsidRDefault="00000000">
            <w:r>
              <w:rPr>
                <w:sz w:val="18"/>
              </w:rPr>
              <w:t>cucumber</w:t>
            </w:r>
          </w:p>
        </w:tc>
        <w:tc>
          <w:tcPr>
            <w:tcW w:w="1728" w:type="dxa"/>
          </w:tcPr>
          <w:p w14:paraId="654A4A43" w14:textId="77777777" w:rsidR="00A71D39" w:rsidRDefault="00000000">
            <w:r>
              <w:rPr>
                <w:sz w:val="18"/>
              </w:rPr>
              <w:t>0.108</w:t>
            </w:r>
          </w:p>
        </w:tc>
        <w:tc>
          <w:tcPr>
            <w:tcW w:w="1728" w:type="dxa"/>
          </w:tcPr>
          <w:p w14:paraId="6E0FDD08" w14:textId="77777777" w:rsidR="00A71D39" w:rsidRDefault="00000000">
            <w:r>
              <w:rPr>
                <w:sz w:val="18"/>
              </w:rPr>
              <w:t>1.000</w:t>
            </w:r>
          </w:p>
        </w:tc>
        <w:tc>
          <w:tcPr>
            <w:tcW w:w="1728" w:type="dxa"/>
          </w:tcPr>
          <w:p w14:paraId="719F5CF0" w14:textId="77777777" w:rsidR="00A71D39" w:rsidRDefault="00000000">
            <w:r>
              <w:rPr>
                <w:sz w:val="18"/>
              </w:rPr>
              <w:t>No (single)</w:t>
            </w:r>
          </w:p>
        </w:tc>
      </w:tr>
      <w:tr w:rsidR="00A71D39" w14:paraId="375402C1" w14:textId="77777777">
        <w:tc>
          <w:tcPr>
            <w:tcW w:w="1728" w:type="dxa"/>
          </w:tcPr>
          <w:p w14:paraId="3D28784A" w14:textId="77777777" w:rsidR="00A71D39" w:rsidRDefault="00000000">
            <w:r>
              <w:rPr>
                <w:sz w:val="18"/>
              </w:rPr>
              <w:t>g10</w:t>
            </w:r>
          </w:p>
        </w:tc>
        <w:tc>
          <w:tcPr>
            <w:tcW w:w="1728" w:type="dxa"/>
          </w:tcPr>
          <w:p w14:paraId="549B7D8E" w14:textId="77777777" w:rsidR="00A71D39" w:rsidRDefault="00000000">
            <w:r>
              <w:rPr>
                <w:sz w:val="18"/>
              </w:rPr>
              <w:t>cucumber</w:t>
            </w:r>
          </w:p>
        </w:tc>
        <w:tc>
          <w:tcPr>
            <w:tcW w:w="1728" w:type="dxa"/>
          </w:tcPr>
          <w:p w14:paraId="6C2CA625" w14:textId="77777777" w:rsidR="00A71D39" w:rsidRDefault="00000000">
            <w:r>
              <w:rPr>
                <w:sz w:val="18"/>
              </w:rPr>
              <w:t>0.369</w:t>
            </w:r>
          </w:p>
        </w:tc>
        <w:tc>
          <w:tcPr>
            <w:tcW w:w="1728" w:type="dxa"/>
          </w:tcPr>
          <w:p w14:paraId="07EED96C" w14:textId="77777777" w:rsidR="00A71D39" w:rsidRDefault="00000000">
            <w:r>
              <w:rPr>
                <w:sz w:val="18"/>
              </w:rPr>
              <w:t>1.000</w:t>
            </w:r>
          </w:p>
        </w:tc>
        <w:tc>
          <w:tcPr>
            <w:tcW w:w="1728" w:type="dxa"/>
          </w:tcPr>
          <w:p w14:paraId="7117C100" w14:textId="77777777" w:rsidR="00A71D39" w:rsidRDefault="00000000">
            <w:r>
              <w:rPr>
                <w:sz w:val="18"/>
              </w:rPr>
              <w:t>No (single)</w:t>
            </w:r>
          </w:p>
        </w:tc>
      </w:tr>
      <w:tr w:rsidR="00A71D39" w14:paraId="5FF7B19D" w14:textId="77777777">
        <w:tc>
          <w:tcPr>
            <w:tcW w:w="1728" w:type="dxa"/>
          </w:tcPr>
          <w:p w14:paraId="2CFA735E" w14:textId="77777777" w:rsidR="00A71D39" w:rsidRDefault="00000000">
            <w:r>
              <w:rPr>
                <w:sz w:val="18"/>
              </w:rPr>
              <w:t>g11</w:t>
            </w:r>
          </w:p>
        </w:tc>
        <w:tc>
          <w:tcPr>
            <w:tcW w:w="1728" w:type="dxa"/>
          </w:tcPr>
          <w:p w14:paraId="1F289B0B" w14:textId="77777777" w:rsidR="00A71D39" w:rsidRDefault="00000000">
            <w:r>
              <w:rPr>
                <w:sz w:val="18"/>
              </w:rPr>
              <w:t>cucumber</w:t>
            </w:r>
          </w:p>
        </w:tc>
        <w:tc>
          <w:tcPr>
            <w:tcW w:w="1728" w:type="dxa"/>
          </w:tcPr>
          <w:p w14:paraId="73D0A9D1" w14:textId="77777777" w:rsidR="00A71D39" w:rsidRDefault="00000000">
            <w:r>
              <w:rPr>
                <w:sz w:val="18"/>
              </w:rPr>
              <w:t>0.105</w:t>
            </w:r>
          </w:p>
        </w:tc>
        <w:tc>
          <w:tcPr>
            <w:tcW w:w="1728" w:type="dxa"/>
          </w:tcPr>
          <w:p w14:paraId="270FB94E" w14:textId="77777777" w:rsidR="00A71D39" w:rsidRDefault="00000000">
            <w:r>
              <w:rPr>
                <w:sz w:val="18"/>
              </w:rPr>
              <w:t>1.000</w:t>
            </w:r>
          </w:p>
        </w:tc>
        <w:tc>
          <w:tcPr>
            <w:tcW w:w="1728" w:type="dxa"/>
          </w:tcPr>
          <w:p w14:paraId="21449AE9" w14:textId="77777777" w:rsidR="00A71D39" w:rsidRDefault="00000000">
            <w:r>
              <w:rPr>
                <w:sz w:val="18"/>
              </w:rPr>
              <w:t>No (single)</w:t>
            </w:r>
          </w:p>
        </w:tc>
      </w:tr>
      <w:tr w:rsidR="00A71D39" w14:paraId="2D6FD051" w14:textId="77777777">
        <w:tc>
          <w:tcPr>
            <w:tcW w:w="1728" w:type="dxa"/>
          </w:tcPr>
          <w:p w14:paraId="3C65AD20" w14:textId="77777777" w:rsidR="00A71D39" w:rsidRDefault="00000000">
            <w:r>
              <w:rPr>
                <w:sz w:val="18"/>
              </w:rPr>
              <w:t>g12</w:t>
            </w:r>
          </w:p>
        </w:tc>
        <w:tc>
          <w:tcPr>
            <w:tcW w:w="1728" w:type="dxa"/>
          </w:tcPr>
          <w:p w14:paraId="23AF7D58" w14:textId="77777777" w:rsidR="00A71D39" w:rsidRDefault="00000000">
            <w:r>
              <w:rPr>
                <w:sz w:val="18"/>
              </w:rPr>
              <w:t>cucumber</w:t>
            </w:r>
          </w:p>
        </w:tc>
        <w:tc>
          <w:tcPr>
            <w:tcW w:w="1728" w:type="dxa"/>
          </w:tcPr>
          <w:p w14:paraId="1E684ED8" w14:textId="77777777" w:rsidR="00A71D39" w:rsidRDefault="00000000">
            <w:r>
              <w:rPr>
                <w:sz w:val="18"/>
              </w:rPr>
              <w:t>0.311</w:t>
            </w:r>
          </w:p>
        </w:tc>
        <w:tc>
          <w:tcPr>
            <w:tcW w:w="1728" w:type="dxa"/>
          </w:tcPr>
          <w:p w14:paraId="22A57EF3" w14:textId="77777777" w:rsidR="00A71D39" w:rsidRDefault="00000000">
            <w:r>
              <w:rPr>
                <w:sz w:val="18"/>
              </w:rPr>
              <w:t>1.000</w:t>
            </w:r>
          </w:p>
        </w:tc>
        <w:tc>
          <w:tcPr>
            <w:tcW w:w="1728" w:type="dxa"/>
          </w:tcPr>
          <w:p w14:paraId="4203F8E2" w14:textId="77777777" w:rsidR="00A71D39" w:rsidRDefault="00000000">
            <w:r>
              <w:rPr>
                <w:sz w:val="18"/>
              </w:rPr>
              <w:t>No (single)</w:t>
            </w:r>
          </w:p>
        </w:tc>
      </w:tr>
    </w:tbl>
    <w:p w14:paraId="35978194" w14:textId="77777777" w:rsidR="00A71D39" w:rsidRDefault="00A71D39"/>
    <w:p w14:paraId="1052CF8E" w14:textId="77777777" w:rsidR="00A71D39" w:rsidRDefault="00000000">
      <w:r>
        <w:t>For the only group with two independent anchors (g3), the cucumber- and tomato-derived factors agree to within 0.2% (ratio 1.002), which is strong evidence that the anchor-based calibration is internally consistent. The remaining 10 groups are bridged by cucumber alone, so a leave-one-out check is not possible for them; this single-anchor dependence is the principal threat to the cross-group level and is noted in Section 4.7.</w:t>
      </w:r>
    </w:p>
    <w:p w14:paraId="53F12452" w14:textId="77777777" w:rsidR="00A71D39" w:rsidRDefault="00000000">
      <w:pPr>
        <w:pStyle w:val="Heading3"/>
      </w:pPr>
      <w:r>
        <w:t>A3 — Estimator sensitivity</w:t>
      </w:r>
    </w:p>
    <w:p w14:paraId="650B3E4B" w14:textId="77777777" w:rsidR="00A71D39" w:rsidRDefault="00000000">
      <w:r>
        <w:t>The whole panel is rebuilt with the robust median-of-ratios estimator and compared cell-by-cell to the ratio-of-means panel.</w:t>
      </w:r>
    </w:p>
    <w:p w14:paraId="7B61C1A6" w14:textId="77777777" w:rsidR="00A71D39" w:rsidRDefault="00000000">
      <w:r>
        <w:rPr>
          <w:b/>
          <w:i/>
          <w:sz w:val="18"/>
        </w:rPr>
        <w:t>Table 4.3. Ratio-of-means vs median-of-ratios estimator.</w:t>
      </w:r>
    </w:p>
    <w:tbl>
      <w:tblPr>
        <w:tblStyle w:val="TableGrid"/>
        <w:tblW w:w="0" w:type="auto"/>
        <w:tblLook w:val="04A0" w:firstRow="1" w:lastRow="0" w:firstColumn="1" w:lastColumn="0" w:noHBand="0" w:noVBand="1"/>
      </w:tblPr>
      <w:tblGrid>
        <w:gridCol w:w="4320"/>
        <w:gridCol w:w="4320"/>
      </w:tblGrid>
      <w:tr w:rsidR="00A71D39" w14:paraId="4C6F1FCC" w14:textId="77777777">
        <w:tc>
          <w:tcPr>
            <w:tcW w:w="4320" w:type="dxa"/>
          </w:tcPr>
          <w:p w14:paraId="704EE78D" w14:textId="77777777" w:rsidR="00A71D39" w:rsidRDefault="00000000">
            <w:r>
              <w:rPr>
                <w:b/>
                <w:sz w:val="18"/>
              </w:rPr>
              <w:t>Metric</w:t>
            </w:r>
          </w:p>
        </w:tc>
        <w:tc>
          <w:tcPr>
            <w:tcW w:w="4320" w:type="dxa"/>
          </w:tcPr>
          <w:p w14:paraId="1E15FBF1" w14:textId="77777777" w:rsidR="00A71D39" w:rsidRDefault="00000000">
            <w:r>
              <w:rPr>
                <w:b/>
                <w:sz w:val="18"/>
              </w:rPr>
              <w:t>Value</w:t>
            </w:r>
          </w:p>
        </w:tc>
      </w:tr>
      <w:tr w:rsidR="00A71D39" w14:paraId="5C8789B5" w14:textId="77777777">
        <w:tc>
          <w:tcPr>
            <w:tcW w:w="4320" w:type="dxa"/>
          </w:tcPr>
          <w:p w14:paraId="5E23A761" w14:textId="77777777" w:rsidR="00A71D39" w:rsidRDefault="00000000">
            <w:r>
              <w:rPr>
                <w:sz w:val="18"/>
              </w:rPr>
              <w:t>Median cell deviation</w:t>
            </w:r>
          </w:p>
        </w:tc>
        <w:tc>
          <w:tcPr>
            <w:tcW w:w="4320" w:type="dxa"/>
          </w:tcPr>
          <w:p w14:paraId="18D91F04" w14:textId="77777777" w:rsidR="00A71D39" w:rsidRDefault="00000000">
            <w:r>
              <w:rPr>
                <w:sz w:val="18"/>
              </w:rPr>
              <w:t>3.08%</w:t>
            </w:r>
          </w:p>
        </w:tc>
      </w:tr>
      <w:tr w:rsidR="00A71D39" w14:paraId="44B0FA6B" w14:textId="77777777">
        <w:tc>
          <w:tcPr>
            <w:tcW w:w="4320" w:type="dxa"/>
          </w:tcPr>
          <w:p w14:paraId="56BAD9DE" w14:textId="77777777" w:rsidR="00A71D39" w:rsidRDefault="00000000">
            <w:r>
              <w:rPr>
                <w:sz w:val="18"/>
              </w:rPr>
              <w:t>90th-percentile deviation</w:t>
            </w:r>
          </w:p>
        </w:tc>
        <w:tc>
          <w:tcPr>
            <w:tcW w:w="4320" w:type="dxa"/>
          </w:tcPr>
          <w:p w14:paraId="5944EFD1" w14:textId="77777777" w:rsidR="00A71D39" w:rsidRDefault="00000000">
            <w:r>
              <w:rPr>
                <w:sz w:val="18"/>
              </w:rPr>
              <w:t>5.86%</w:t>
            </w:r>
          </w:p>
        </w:tc>
      </w:tr>
      <w:tr w:rsidR="00A71D39" w14:paraId="60ED29AB" w14:textId="77777777">
        <w:tc>
          <w:tcPr>
            <w:tcW w:w="4320" w:type="dxa"/>
          </w:tcPr>
          <w:p w14:paraId="5483BE60" w14:textId="77777777" w:rsidR="00A71D39" w:rsidRDefault="00000000">
            <w:r>
              <w:rPr>
                <w:sz w:val="18"/>
              </w:rPr>
              <w:t>Maximum cell deviation</w:t>
            </w:r>
          </w:p>
        </w:tc>
        <w:tc>
          <w:tcPr>
            <w:tcW w:w="4320" w:type="dxa"/>
          </w:tcPr>
          <w:p w14:paraId="5D2B4B1B" w14:textId="77777777" w:rsidR="00A71D39" w:rsidRDefault="00000000">
            <w:r>
              <w:rPr>
                <w:sz w:val="18"/>
              </w:rPr>
              <w:t>11.96%</w:t>
            </w:r>
          </w:p>
        </w:tc>
      </w:tr>
      <w:tr w:rsidR="00A71D39" w14:paraId="593BA06D" w14:textId="77777777">
        <w:tc>
          <w:tcPr>
            <w:tcW w:w="4320" w:type="dxa"/>
          </w:tcPr>
          <w:p w14:paraId="05645D51" w14:textId="77777777" w:rsidR="00A71D39" w:rsidRDefault="00000000">
            <w:r>
              <w:rPr>
                <w:sz w:val="18"/>
              </w:rPr>
              <w:t>Panel correlation (the two panels)</w:t>
            </w:r>
          </w:p>
        </w:tc>
        <w:tc>
          <w:tcPr>
            <w:tcW w:w="4320" w:type="dxa"/>
          </w:tcPr>
          <w:p w14:paraId="765C97E2" w14:textId="77777777" w:rsidR="00A71D39" w:rsidRDefault="00000000">
            <w:r>
              <w:rPr>
                <w:sz w:val="18"/>
              </w:rPr>
              <w:t>0.99858</w:t>
            </w:r>
          </w:p>
        </w:tc>
      </w:tr>
      <w:tr w:rsidR="00A71D39" w14:paraId="47B530B2" w14:textId="77777777">
        <w:tc>
          <w:tcPr>
            <w:tcW w:w="4320" w:type="dxa"/>
          </w:tcPr>
          <w:p w14:paraId="5F866204" w14:textId="77777777" w:rsidR="00A71D39" w:rsidRDefault="00000000">
            <w:r>
              <w:rPr>
                <w:sz w:val="18"/>
              </w:rPr>
              <w:t>Most-affected crop</w:t>
            </w:r>
          </w:p>
        </w:tc>
        <w:tc>
          <w:tcPr>
            <w:tcW w:w="4320" w:type="dxa"/>
          </w:tcPr>
          <w:p w14:paraId="416B2D49" w14:textId="77777777" w:rsidR="00A71D39" w:rsidRDefault="00000000">
            <w:r>
              <w:rPr>
                <w:sz w:val="18"/>
              </w:rPr>
              <w:t>Peanut (median deviation 8.1%)</w:t>
            </w:r>
          </w:p>
        </w:tc>
      </w:tr>
    </w:tbl>
    <w:p w14:paraId="0D19FB14" w14:textId="77777777" w:rsidR="00A71D39" w:rsidRDefault="00A71D39"/>
    <w:p w14:paraId="38C1DCA6" w14:textId="77777777" w:rsidR="00A71D39" w:rsidRDefault="00000000">
      <w:r>
        <w:t>The two estimators yield panels correlated at 0.9986 with a median cell deviation of about 3%, so the stitched target is effectively invariant to the choice of scale-factor estimator.</w:t>
      </w:r>
    </w:p>
    <w:p w14:paraId="003A907E" w14:textId="77777777" w:rsidR="00A71D39" w:rsidRDefault="00000000">
      <w:pPr>
        <w:pStyle w:val="Heading3"/>
      </w:pPr>
      <w:r>
        <w:t>A5 — Sampling noise-floor proxy</w:t>
      </w:r>
    </w:p>
    <w:p w14:paraId="61C5F07D" w14:textId="77777777" w:rsidR="00A71D39" w:rsidRDefault="00000000">
      <w:r>
        <w:t>With one pull per window there are no repeat-draw replicates, so the disagreement between adjacent windows on their shared weeks is used as a lower bound on Trends sampling jitter. No forecast should claim error below this floor.</w:t>
      </w:r>
    </w:p>
    <w:p w14:paraId="01A7C687" w14:textId="77777777" w:rsidR="00A71D39" w:rsidRDefault="00000000">
      <w:r>
        <w:rPr>
          <w:b/>
          <w:i/>
          <w:sz w:val="18"/>
        </w:rPr>
        <w:t>Table 4.4. Per-crop lower-bound noise floor (noisiest crops shown).</w:t>
      </w:r>
    </w:p>
    <w:tbl>
      <w:tblPr>
        <w:tblStyle w:val="TableGrid"/>
        <w:tblW w:w="0" w:type="auto"/>
        <w:tblLook w:val="04A0" w:firstRow="1" w:lastRow="0" w:firstColumn="1" w:lastColumn="0" w:noHBand="0" w:noVBand="1"/>
      </w:tblPr>
      <w:tblGrid>
        <w:gridCol w:w="4320"/>
        <w:gridCol w:w="4320"/>
      </w:tblGrid>
      <w:tr w:rsidR="00A71D39" w14:paraId="712EDFCE" w14:textId="77777777">
        <w:tc>
          <w:tcPr>
            <w:tcW w:w="4320" w:type="dxa"/>
          </w:tcPr>
          <w:p w14:paraId="1C77E61D" w14:textId="77777777" w:rsidR="00A71D39" w:rsidRDefault="00000000">
            <w:r>
              <w:rPr>
                <w:b/>
                <w:sz w:val="18"/>
              </w:rPr>
              <w:t>Crop</w:t>
            </w:r>
          </w:p>
        </w:tc>
        <w:tc>
          <w:tcPr>
            <w:tcW w:w="4320" w:type="dxa"/>
          </w:tcPr>
          <w:p w14:paraId="3EC39B70" w14:textId="77777777" w:rsidR="00A71D39" w:rsidRDefault="00000000">
            <w:r>
              <w:rPr>
                <w:b/>
                <w:sz w:val="18"/>
              </w:rPr>
              <w:t>Median abs. overlap disagreement</w:t>
            </w:r>
          </w:p>
        </w:tc>
      </w:tr>
      <w:tr w:rsidR="00A71D39" w14:paraId="0A31883B" w14:textId="77777777">
        <w:tc>
          <w:tcPr>
            <w:tcW w:w="4320" w:type="dxa"/>
          </w:tcPr>
          <w:p w14:paraId="2E4CC857" w14:textId="77777777" w:rsidR="00A71D39" w:rsidRDefault="00000000">
            <w:r>
              <w:rPr>
                <w:sz w:val="18"/>
              </w:rPr>
              <w:t>Panel-wide median</w:t>
            </w:r>
          </w:p>
        </w:tc>
        <w:tc>
          <w:tcPr>
            <w:tcW w:w="4320" w:type="dxa"/>
          </w:tcPr>
          <w:p w14:paraId="52AE77AA" w14:textId="77777777" w:rsidR="00A71D39" w:rsidRDefault="00000000">
            <w:r>
              <w:rPr>
                <w:sz w:val="18"/>
              </w:rPr>
              <w:t>0.84%</w:t>
            </w:r>
          </w:p>
        </w:tc>
      </w:tr>
      <w:tr w:rsidR="00A71D39" w14:paraId="5C50EB5A" w14:textId="77777777">
        <w:tc>
          <w:tcPr>
            <w:tcW w:w="4320" w:type="dxa"/>
          </w:tcPr>
          <w:p w14:paraId="29440040" w14:textId="77777777" w:rsidR="00A71D39" w:rsidRDefault="00000000">
            <w:r>
              <w:rPr>
                <w:sz w:val="18"/>
              </w:rPr>
              <w:t>Citrus × Tangerina</w:t>
            </w:r>
          </w:p>
        </w:tc>
        <w:tc>
          <w:tcPr>
            <w:tcW w:w="4320" w:type="dxa"/>
          </w:tcPr>
          <w:p w14:paraId="30CA4F4C" w14:textId="77777777" w:rsidR="00A71D39" w:rsidRDefault="00000000">
            <w:r>
              <w:rPr>
                <w:sz w:val="18"/>
              </w:rPr>
              <w:t>6.53%</w:t>
            </w:r>
          </w:p>
        </w:tc>
      </w:tr>
      <w:tr w:rsidR="00A71D39" w14:paraId="121F7810" w14:textId="77777777">
        <w:tc>
          <w:tcPr>
            <w:tcW w:w="4320" w:type="dxa"/>
          </w:tcPr>
          <w:p w14:paraId="2761C63F" w14:textId="77777777" w:rsidR="00A71D39" w:rsidRDefault="00000000">
            <w:r>
              <w:rPr>
                <w:sz w:val="18"/>
              </w:rPr>
              <w:t>Chestnut</w:t>
            </w:r>
          </w:p>
        </w:tc>
        <w:tc>
          <w:tcPr>
            <w:tcW w:w="4320" w:type="dxa"/>
          </w:tcPr>
          <w:p w14:paraId="6CFF1D99" w14:textId="77777777" w:rsidR="00A71D39" w:rsidRDefault="00000000">
            <w:r>
              <w:rPr>
                <w:sz w:val="18"/>
              </w:rPr>
              <w:t>4.09%</w:t>
            </w:r>
          </w:p>
        </w:tc>
      </w:tr>
      <w:tr w:rsidR="00A71D39" w14:paraId="5153E8F9" w14:textId="77777777">
        <w:tc>
          <w:tcPr>
            <w:tcW w:w="4320" w:type="dxa"/>
          </w:tcPr>
          <w:p w14:paraId="5C4DAC7E" w14:textId="77777777" w:rsidR="00A71D39" w:rsidRDefault="00000000">
            <w:r>
              <w:rPr>
                <w:sz w:val="18"/>
              </w:rPr>
              <w:t>Guava</w:t>
            </w:r>
          </w:p>
        </w:tc>
        <w:tc>
          <w:tcPr>
            <w:tcW w:w="4320" w:type="dxa"/>
          </w:tcPr>
          <w:p w14:paraId="2ADF3DD5" w14:textId="77777777" w:rsidR="00A71D39" w:rsidRDefault="00000000">
            <w:r>
              <w:rPr>
                <w:sz w:val="18"/>
              </w:rPr>
              <w:t>2.05%</w:t>
            </w:r>
          </w:p>
        </w:tc>
      </w:tr>
      <w:tr w:rsidR="00A71D39" w14:paraId="1036B481" w14:textId="77777777">
        <w:tc>
          <w:tcPr>
            <w:tcW w:w="4320" w:type="dxa"/>
          </w:tcPr>
          <w:p w14:paraId="1B1D7512" w14:textId="77777777" w:rsidR="00A71D39" w:rsidRDefault="00000000">
            <w:r>
              <w:rPr>
                <w:sz w:val="18"/>
              </w:rPr>
              <w:t>Mint</w:t>
            </w:r>
          </w:p>
        </w:tc>
        <w:tc>
          <w:tcPr>
            <w:tcW w:w="4320" w:type="dxa"/>
          </w:tcPr>
          <w:p w14:paraId="5420FA7F" w14:textId="77777777" w:rsidR="00A71D39" w:rsidRDefault="00000000">
            <w:r>
              <w:rPr>
                <w:sz w:val="18"/>
              </w:rPr>
              <w:t>2.01%</w:t>
            </w:r>
          </w:p>
        </w:tc>
      </w:tr>
      <w:tr w:rsidR="00A71D39" w14:paraId="09FE40E8" w14:textId="77777777">
        <w:tc>
          <w:tcPr>
            <w:tcW w:w="4320" w:type="dxa"/>
          </w:tcPr>
          <w:p w14:paraId="1DB76E97" w14:textId="77777777" w:rsidR="00A71D39" w:rsidRDefault="00000000">
            <w:r>
              <w:rPr>
                <w:sz w:val="18"/>
              </w:rPr>
              <w:t>Chayote</w:t>
            </w:r>
          </w:p>
        </w:tc>
        <w:tc>
          <w:tcPr>
            <w:tcW w:w="4320" w:type="dxa"/>
          </w:tcPr>
          <w:p w14:paraId="211A5366" w14:textId="77777777" w:rsidR="00A71D39" w:rsidRDefault="00000000">
            <w:r>
              <w:rPr>
                <w:sz w:val="18"/>
              </w:rPr>
              <w:t>1.90%</w:t>
            </w:r>
          </w:p>
        </w:tc>
      </w:tr>
      <w:tr w:rsidR="00A71D39" w14:paraId="49D8FCD1" w14:textId="77777777">
        <w:tc>
          <w:tcPr>
            <w:tcW w:w="4320" w:type="dxa"/>
          </w:tcPr>
          <w:p w14:paraId="7A0CB761" w14:textId="77777777" w:rsidR="00A71D39" w:rsidRDefault="00000000">
            <w:r>
              <w:rPr>
                <w:sz w:val="18"/>
              </w:rPr>
              <w:lastRenderedPageBreak/>
              <w:t>Watermelon</w:t>
            </w:r>
          </w:p>
        </w:tc>
        <w:tc>
          <w:tcPr>
            <w:tcW w:w="4320" w:type="dxa"/>
          </w:tcPr>
          <w:p w14:paraId="54E3FFCB" w14:textId="77777777" w:rsidR="00A71D39" w:rsidRDefault="00000000">
            <w:r>
              <w:rPr>
                <w:sz w:val="18"/>
              </w:rPr>
              <w:t>1.85%</w:t>
            </w:r>
          </w:p>
        </w:tc>
      </w:tr>
    </w:tbl>
    <w:p w14:paraId="2467B140" w14:textId="77777777" w:rsidR="00A71D39" w:rsidRDefault="00A71D39"/>
    <w:p w14:paraId="39079721" w14:textId="77777777" w:rsidR="00A71D39" w:rsidRDefault="00000000">
      <w:r>
        <w:t>The panel-wide median noise floor of 0.84% indicates that, for most crops, the stitched series is reproducible to under one index point; the noisiest series are the sparse, low-volume crops (e.g. Citrus × Tangerina), consistent with larger relative sampling and rounding error at low search volume.</w:t>
      </w:r>
    </w:p>
    <w:p w14:paraId="733D8D46" w14:textId="77777777" w:rsidR="00A71D39" w:rsidRDefault="00000000">
      <w:pPr>
        <w:pStyle w:val="Heading2"/>
      </w:pPr>
      <w:r>
        <w:t>4.7 Limitations and threats to validity</w:t>
      </w:r>
    </w:p>
    <w:p w14:paraId="1B61B0CA" w14:textId="77777777" w:rsidR="00A71D39" w:rsidRDefault="00000000">
      <w:pPr>
        <w:pStyle w:val="ListBullet"/>
      </w:pPr>
      <w:r>
        <w:t>Single pull per window. Sampling noise is quantified (A5) but not averaged out by repeated draws as recommended by Eichenauer et al. (2022); the noise floor is therefore a lower bound. Collecting ≥3 repeat pulls on a subset of cells would tighten it.</w:t>
      </w:r>
    </w:p>
    <w:p w14:paraId="0DC800B0" w14:textId="77777777" w:rsidR="00A71D39" w:rsidRDefault="00000000">
      <w:pPr>
        <w:pStyle w:val="ListBullet"/>
      </w:pPr>
      <w:r>
        <w:t>Single-anchor cross-group calibration. Ten of eleven non-reference groups are bridged by cucumber alone (A2), so their absolute level cannot be leave-one-out validated. Adding a second shared bridge crop per group would remove this dependence.</w:t>
      </w:r>
    </w:p>
    <w:p w14:paraId="4CCF2878" w14:textId="77777777" w:rsidR="00A71D39" w:rsidRDefault="00000000">
      <w:pPr>
        <w:pStyle w:val="ListBullet"/>
      </w:pPr>
      <w:r>
        <w:t>Overlap handling. On shared weeks the earlier window is kept rather than averaging the two scaled windows; averaging would marginally further reduce sampling noise on overlap weeks.</w:t>
      </w:r>
    </w:p>
    <w:p w14:paraId="425056D7" w14:textId="77777777" w:rsidR="00A71D39" w:rsidRDefault="00000000">
      <w:pPr>
        <w:pStyle w:val="ListBullet"/>
      </w:pPr>
      <w:r>
        <w:t>Integer quantisation. Trends returns integers in 0-100 (with “&lt;1” mapped to 0.5), so relative rounding error is largest for low-volume crops; this is captured by the A5 floor.</w:t>
      </w:r>
    </w:p>
    <w:p w14:paraId="1F204861" w14:textId="77777777" w:rsidR="00A71D39" w:rsidRDefault="00000000">
      <w:pPr>
        <w:pStyle w:val="ListBullet"/>
      </w:pPr>
      <w:r>
        <w:t>Reproducibility note. The raw inputs reside in rawdata/, whereas config.DATA_DIR points to data/; the calibration run reported here used rawdata/. Aligning the configured path (or relocating the files) is required for one-command reproduction.</w:t>
      </w:r>
    </w:p>
    <w:p w14:paraId="348575A6" w14:textId="77777777" w:rsidR="00A71D39" w:rsidRDefault="00000000">
      <w:pPr>
        <w:pStyle w:val="Heading2"/>
      </w:pPr>
      <w:r>
        <w:t>4.8 Summary</w:t>
      </w:r>
    </w:p>
    <w:p w14:paraId="7EFF34EC" w14:textId="77777777" w:rsidR="00A71D39" w:rsidRDefault="00000000">
      <w:r>
        <w:t>The stitching and scaling logic implements the standard, theoretically grounded overlap-rescaling method for constructing long Google Trends series and passes its own held-out calibration tests: 216 within-group seams reconstruct with a 0.65% median error and no systematic bias, the cross-group calibration is internally consistent where checkable (0.2% anchor disagreement in g3), the result is essentially invariant to the scale-factor estimator (panel correlation 0.9986), and the sampling noise floor is below 1% for the typical crop. The two residual weaknesses—single-pull sampling noise and predominantly single-anchor cross-group bridging—are explicitly quantified rather than hidden, and both have clear remedies.</w:t>
      </w:r>
    </w:p>
    <w:p w14:paraId="1F9E36D9" w14:textId="77777777" w:rsidR="00A71D39" w:rsidRDefault="00000000">
      <w:pPr>
        <w:pStyle w:val="Heading2"/>
      </w:pPr>
      <w:r>
        <w:t>References (Section 4)</w:t>
      </w:r>
    </w:p>
    <w:p w14:paraId="13AAF914" w14:textId="77777777" w:rsidR="00A71D39" w:rsidRDefault="00000000">
      <w:pPr>
        <w:ind w:left="432" w:hanging="432"/>
      </w:pPr>
      <w:r>
        <w:rPr>
          <w:sz w:val="20"/>
        </w:rPr>
        <w:t>Bleher, J., &amp; Dimpfl, T. (2022). Knitting multi-annual high-frequency Google Trends to predict inflation and consumption. Econometrics and Statistics.</w:t>
      </w:r>
    </w:p>
    <w:p w14:paraId="21222A5E" w14:textId="77777777" w:rsidR="00A71D39" w:rsidRDefault="00000000">
      <w:pPr>
        <w:ind w:left="432" w:hanging="432"/>
      </w:pPr>
      <w:r>
        <w:rPr>
          <w:sz w:val="20"/>
        </w:rPr>
        <w:t>Chow, G. C., &amp; Lin, A. (1971). Best linear unbiased interpolation, distribution, and extrapolation of time series by related series. The Review of Economics and Statistics, 53(4), 372-375.</w:t>
      </w:r>
    </w:p>
    <w:p w14:paraId="36C0112B" w14:textId="77777777" w:rsidR="00A71D39" w:rsidRDefault="00000000">
      <w:pPr>
        <w:ind w:left="432" w:hanging="432"/>
      </w:pPr>
      <w:r>
        <w:rPr>
          <w:sz w:val="20"/>
        </w:rPr>
        <w:t>Choi, H., &amp; Varian, H. (2012). Predicting the present with Google Trends. Economic Record, 88, 2-9.</w:t>
      </w:r>
    </w:p>
    <w:p w14:paraId="015F813B" w14:textId="77777777" w:rsidR="00A71D39" w:rsidRDefault="00000000">
      <w:pPr>
        <w:ind w:left="432" w:hanging="432"/>
      </w:pPr>
      <w:r>
        <w:rPr>
          <w:sz w:val="20"/>
        </w:rPr>
        <w:lastRenderedPageBreak/>
        <w:t>Eichenauer, V. Z., Indergand, R., Martínez, I. Z., &amp; Sax, C. (2022). Obtaining consistent time series from Google Trends. Economic Inquiry, 60(2), 694-705.</w:t>
      </w:r>
    </w:p>
    <w:p w14:paraId="47ED6968" w14:textId="77777777" w:rsidR="00A71D39" w:rsidRDefault="00000000">
      <w:pPr>
        <w:ind w:left="432" w:hanging="432"/>
      </w:pPr>
      <w:r>
        <w:rPr>
          <w:sz w:val="20"/>
        </w:rPr>
        <w:t>Kristoufek, L. (2015). What are the main drivers of the Bitcoin price? Evidence from wavelet coherence analysis. PLoS ONE, 10(4), e0123923.</w:t>
      </w:r>
    </w:p>
    <w:p w14:paraId="79F1A4BA" w14:textId="77777777" w:rsidR="00A71D39" w:rsidRDefault="00000000">
      <w:pPr>
        <w:ind w:left="432" w:hanging="432"/>
      </w:pPr>
      <w:r>
        <w:rPr>
          <w:sz w:val="20"/>
        </w:rPr>
        <w:t>Scott, S. L., &amp; Varian, H. R. (2015). Bayesian variable selection for nowcasting economic time series. In Economic Analysis of the Digital Economy.</w:t>
      </w:r>
    </w:p>
    <w:sectPr w:rsidR="00A71D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D1A35A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3E6CD10"/>
    <w:lvl w:ilvl="0">
      <w:start w:val="1"/>
      <w:numFmt w:val="bullet"/>
      <w:pStyle w:val="ListBullet"/>
      <w:lvlText w:val=""/>
      <w:lvlJc w:val="left"/>
      <w:pPr>
        <w:tabs>
          <w:tab w:val="num" w:pos="360"/>
        </w:tabs>
        <w:ind w:left="360" w:hanging="360"/>
      </w:pPr>
      <w:rPr>
        <w:rFonts w:ascii="Symbol" w:hAnsi="Symbol" w:hint="default"/>
      </w:rPr>
    </w:lvl>
  </w:abstractNum>
  <w:num w:numId="1" w16cid:durableId="1691763488">
    <w:abstractNumId w:val="8"/>
  </w:num>
  <w:num w:numId="2" w16cid:durableId="914777802">
    <w:abstractNumId w:val="6"/>
  </w:num>
  <w:num w:numId="3" w16cid:durableId="547575064">
    <w:abstractNumId w:val="5"/>
  </w:num>
  <w:num w:numId="4" w16cid:durableId="678580926">
    <w:abstractNumId w:val="4"/>
  </w:num>
  <w:num w:numId="5" w16cid:durableId="413354437">
    <w:abstractNumId w:val="7"/>
  </w:num>
  <w:num w:numId="6" w16cid:durableId="312955855">
    <w:abstractNumId w:val="3"/>
  </w:num>
  <w:num w:numId="7" w16cid:durableId="626931447">
    <w:abstractNumId w:val="2"/>
  </w:num>
  <w:num w:numId="8" w16cid:durableId="138688159">
    <w:abstractNumId w:val="1"/>
  </w:num>
  <w:num w:numId="9" w16cid:durableId="844978351">
    <w:abstractNumId w:val="0"/>
  </w:num>
  <w:num w:numId="10" w16cid:durableId="782925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75F"/>
    <w:rsid w:val="005609DB"/>
    <w:rsid w:val="005856A9"/>
    <w:rsid w:val="007B2932"/>
    <w:rsid w:val="00866340"/>
    <w:rsid w:val="008E4F8C"/>
    <w:rsid w:val="00A36FE7"/>
    <w:rsid w:val="00A4285D"/>
    <w:rsid w:val="00A52021"/>
    <w:rsid w:val="00A71D39"/>
    <w:rsid w:val="00AA1D8D"/>
    <w:rsid w:val="00B47730"/>
    <w:rsid w:val="00BF39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3C867"/>
  <w14:defaultImageDpi w14:val="300"/>
  <w15:docId w15:val="{ECC1013D-A0F5-4465-8706-98CB6D30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3873</Words>
  <Characters>22080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Bibhusha Ojha</cp:lastModifiedBy>
  <cp:revision>5</cp:revision>
  <dcterms:created xsi:type="dcterms:W3CDTF">2013-12-23T23:15:00Z</dcterms:created>
  <dcterms:modified xsi:type="dcterms:W3CDTF">2026-07-03T18:38:00Z</dcterms:modified>
  <cp:category/>
</cp:coreProperties>
</file>