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Informe de presentación — Caso 1: EducaVault</w:t>
      </w:r>
    </w:p>
    <w:p>
      <w:pPr>
        <w:spacing w:after="60"/>
        <w:jc w:val="center"/>
      </w:pPr>
      <w:r>
        <w:rPr>
          <w:b/>
          <w:i w:val="0"/>
        </w:rPr>
        <w:t>Universidad Adventista de Bolivia · Ingeniería de Sistemas</w:t>
      </w:r>
    </w:p>
    <w:p>
      <w:pPr>
        <w:spacing w:after="60"/>
        <w:jc w:val="center"/>
      </w:pPr>
      <w:r>
        <w:rPr>
          <w:b/>
          <w:i w:val="0"/>
        </w:rPr>
        <w:t>Asignatura:</w:t>
      </w:r>
      <w:r>
        <w:rPr>
          <w:b w:val="0"/>
          <w:i w:val="0"/>
        </w:rPr>
        <w:t xml:space="preserve"> Tecnologías en Internet · </w:t>
      </w:r>
      <w:r>
        <w:rPr>
          <w:b/>
          <w:i w:val="0"/>
        </w:rPr>
        <w:t>Semestre:</w:t>
      </w:r>
      <w:r>
        <w:rPr>
          <w:b w:val="0"/>
          <w:i w:val="0"/>
        </w:rPr>
        <w:t xml:space="preserve"> 6.º</w:t>
      </w:r>
    </w:p>
    <w:p>
      <w:pPr>
        <w:spacing w:after="60"/>
        <w:jc w:val="center"/>
      </w:pPr>
      <w:r>
        <w:rPr>
          <w:b/>
          <w:i w:val="0"/>
        </w:rPr>
        <w:t>Docente:</w:t>
      </w:r>
      <w:r>
        <w:rPr>
          <w:b w:val="0"/>
          <w:i w:val="0"/>
        </w:rPr>
        <w:t xml:space="preserve"> Víctor Hugo Sarzuri Flores</w:t>
      </w:r>
    </w:p>
    <w:p>
      <w:pPr>
        <w:spacing w:after="60"/>
        <w:jc w:val="center"/>
      </w:pPr>
      <w:r>
        <w:rPr>
          <w:b/>
          <w:i w:val="0"/>
        </w:rPr>
        <w:t>Estudiante:</w:t>
      </w:r>
      <w:r>
        <w:rPr>
          <w:b w:val="0"/>
          <w:i w:val="0"/>
        </w:rPr>
        <w:t xml:space="preserve"> Eva Lizeth Chino Quispe</w:t>
      </w:r>
    </w:p>
    <w:p>
      <w:pPr>
        <w:spacing w:after="60"/>
        <w:jc w:val="center"/>
      </w:pPr>
      <w:r>
        <w:rPr>
          <w:b/>
          <w:i w:val="0"/>
        </w:rPr>
        <w:t>Fecha de presentación:</w:t>
      </w:r>
      <w:r>
        <w:rPr>
          <w:b w:val="0"/>
          <w:i w:val="0"/>
        </w:rPr>
        <w:t xml:space="preserve"> 21 de octubre de 2026</w:t>
      </w:r>
    </w:p>
    <w:p>
      <w:pPr>
        <w:spacing w:after="60"/>
        <w:jc w:val="center"/>
      </w:pPr>
      <w:r>
        <w:rPr>
          <w:b w:val="0"/>
          <w:i w:val="0"/>
        </w:rPr>
        <w:t xml:space="preserve">Evidencias capturadas durante la ejecución en la carpeta </w:t>
      </w:r>
      <w:r>
        <w:rPr>
          <w:rFonts w:ascii="Consolas" w:hAnsi="Consolas"/>
          <w:b w:val="0"/>
          <w:i w:val="0"/>
          <w:color w:val="167C80"/>
          <w:sz w:val="18"/>
        </w:rPr>
        <w:t>evidencias/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1. Resumen del caso</w:t>
      </w:r>
    </w:p>
    <w:p>
      <w:r>
        <w:rPr>
          <w:b w:val="0"/>
          <w:i w:val="0"/>
        </w:rPr>
        <w:t>EducaVault es una aplicación web para organizar el seguimiento de tesis y trabajos de grado. La propuesta reúne en un mismo espacio la información del trabajo, sus versiones y las observaciones del tribunal. Así se puede consultar el avance sin depender de archivos dispersos ni perder de vista qué versión fue revisada.</w:t>
      </w:r>
    </w:p>
    <w:p>
      <w:r>
        <w:rPr>
          <w:b w:val="0"/>
          <w:i w:val="0"/>
        </w:rPr>
        <w:t>La solución se compone de una API REST desarrollada con Node.js y Express, una interfaz de página única (SPA) con React y Vite, y MongoDB como base de datos. El acceso a las funciones protegidas requiere autenticación mediante JWT.</w:t>
      </w:r>
    </w:p>
    <w:p>
      <w:pPr>
        <w:pStyle w:val="Heading2"/>
      </w:pPr>
      <w:r>
        <w:rPr>
          <w:b w:val="0"/>
          <w:i w:val="0"/>
        </w:rPr>
        <w:t>2. Problema y objetivo</w:t>
      </w:r>
    </w:p>
    <w:p>
      <w:r>
        <w:rPr>
          <w:b w:val="0"/>
          <w:i w:val="0"/>
        </w:rPr>
        <w:t>En un proceso académico, el documento suele pasar varias veces entre estudiante, asesor y tribunal. Cuando cada participante conserva copias distintas, es difícil saber cuál es la versión vigente, quién hizo una observación y qué decisión se tomó.</w:t>
      </w:r>
    </w:p>
    <w:p>
      <w:r>
        <w:rPr>
          <w:b w:val="0"/>
          <w:i w:val="0"/>
        </w:rPr>
        <w:t>El objetivo de EducaVault es ofrecer un flujo centralizado para registrar tesis, añadir versiones, asignar responsables y conservar revisiones. En esta implementación se almacena la información y los metadatos del archivo (nombre y URL); no se implementa la carga binaria de documentos.</w:t>
      </w:r>
    </w:p>
    <w:p>
      <w:pPr>
        <w:pStyle w:val="Heading2"/>
      </w:pPr>
      <w:r>
        <w:rPr>
          <w:b w:val="0"/>
          <w:i w:val="0"/>
        </w:rPr>
        <w:t>3. Funcionalidades demostrables</w:t>
      </w:r>
    </w:p>
    <w:p>
      <w:pPr>
        <w:pStyle w:val="ListBullet"/>
      </w:pPr>
      <w:r>
        <w:rPr>
          <w:b w:val="0"/>
          <w:i w:val="0"/>
        </w:rPr>
        <w:t>Registro e inicio de sesión con contraseña almacenada como hash bcrypt.</w:t>
      </w:r>
    </w:p>
    <w:p>
      <w:pPr>
        <w:pStyle w:val="ListBullet"/>
      </w:pPr>
      <w:r>
        <w:rPr>
          <w:b w:val="0"/>
          <w:i w:val="0"/>
        </w:rPr>
        <w:t>Panel que presenta tesis según el rol: estudiante, tribunal o administrador.</w:t>
      </w:r>
    </w:p>
    <w:p>
      <w:pPr>
        <w:pStyle w:val="ListBullet"/>
      </w:pPr>
      <w:r>
        <w:rPr>
          <w:b w:val="0"/>
          <w:i w:val="0"/>
        </w:rPr>
        <w:t>Creación de una tesis con título, resumen, carrera y palabras clave.</w:t>
      </w:r>
    </w:p>
    <w:p>
      <w:pPr>
        <w:pStyle w:val="ListBullet"/>
      </w:pPr>
      <w:r>
        <w:rPr>
          <w:b w:val="0"/>
          <w:i w:val="0"/>
        </w:rPr>
        <w:t>Registro de nuevas versiones con observaciones y datos del archivo.</w:t>
      </w:r>
    </w:p>
    <w:p>
      <w:pPr>
        <w:pStyle w:val="ListBullet"/>
      </w:pPr>
      <w:r>
        <w:rPr>
          <w:b w:val="0"/>
          <w:i w:val="0"/>
        </w:rPr>
        <w:t>Asignación de asesores y miembros del tribunal por parte del administrador.</w:t>
      </w:r>
    </w:p>
    <w:p>
      <w:pPr>
        <w:pStyle w:val="ListBullet"/>
      </w:pPr>
      <w:r>
        <w:rPr>
          <w:b w:val="0"/>
          <w:i w:val="0"/>
        </w:rPr>
        <w:t>Registro de una revisión con comentarios, puntuación y veredicto.</w:t>
      </w:r>
    </w:p>
    <w:p>
      <w:pPr>
        <w:pStyle w:val="ListBullet"/>
      </w:pPr>
      <w:r>
        <w:rPr>
          <w:b w:val="0"/>
          <w:i w:val="0"/>
        </w:rPr>
        <w:t>Consulta del estado e historial de versiones y revisiones.</w:t>
      </w:r>
    </w:p>
    <w:p>
      <w:pPr>
        <w:pStyle w:val="ListBullet"/>
      </w:pPr>
      <w:r>
        <w:rPr>
          <w:b w:val="0"/>
          <w:i w:val="0"/>
        </w:rPr>
        <w:t>Rutas protegidas en la interfaz y validación de autenticación y roles en la API.</w:t>
      </w:r>
    </w:p>
    <w:p>
      <w:pPr>
        <w:pStyle w:val="Heading2"/>
      </w:pPr>
      <w:r>
        <w:rPr>
          <w:b w:val="0"/>
          <w:i w:val="0"/>
        </w:rPr>
        <w:t>4. Arquitectura y recorrido de una petición</w:t>
      </w:r>
    </w:p>
    <w:p>
      <w:r>
        <w:rPr>
          <w:b w:val="0"/>
          <w:i w:val="0"/>
        </w:rPr>
        <w:t>La organización separa responsabilidades para facilitar la lectura y el mantenimiento: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Capa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Ubicación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Interfaz React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frontend/src/pages/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Formularios, paneles y detalle de tesis</w:t>
            </w:r>
          </w:p>
        </w:tc>
      </w:tr>
      <w:tr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Servicio HTTP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frontend/src/services/api.js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Llamadas a la API e inclusión del token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Rutas REST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backend/src/routes/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Métodos HTTP, rutas y controles de acceso</w:t>
            </w:r>
          </w:p>
        </w:tc>
      </w:tr>
      <w:tr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Controladores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backend/src/controllers/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Reglas del flujo y respuestas JSON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Modelos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backend/src/models/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Esquemas, validaciones y relaciones Mongoose</w:t>
            </w:r>
          </w:p>
        </w:tc>
      </w:tr>
      <w:tr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Middleware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backend/src/middleware/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Autenticación, roles y errores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Por ejemplo, al crear una tesis, React envía los datos a </w:t>
      </w:r>
      <w:r>
        <w:rPr>
          <w:rFonts w:ascii="Consolas" w:hAnsi="Consolas"/>
          <w:b w:val="0"/>
          <w:i w:val="0"/>
          <w:color w:val="167C80"/>
          <w:sz w:val="18"/>
        </w:rPr>
        <w:t>POST /api/thesis</w:t>
      </w:r>
      <w:r>
        <w:rPr>
          <w:b w:val="0"/>
          <w:i w:val="0"/>
        </w:rPr>
        <w:t>. La ruta comprueba el token y el rol; el controlador crea el documento y responde con HTTP 201. Para una petición inválida, la API responde con el estado y el mensaje de error correspondiente.</w:t>
      </w:r>
    </w:p>
    <w:p>
      <w:pPr>
        <w:pStyle w:val="Heading2"/>
      </w:pPr>
      <w:r>
        <w:rPr>
          <w:b w:val="0"/>
          <w:i w:val="0"/>
        </w:rPr>
        <w:t>5. API REST y permisos</w:t>
      </w:r>
    </w:p>
    <w:p>
      <w:r>
        <w:rPr>
          <w:b w:val="0"/>
          <w:i w:val="0"/>
        </w:rPr>
        <w:t xml:space="preserve">Todas las rutas de tesis requieren autenticación. El middleware </w:t>
      </w:r>
      <w:r>
        <w:rPr>
          <w:rFonts w:ascii="Consolas" w:hAnsi="Consolas"/>
          <w:b w:val="0"/>
          <w:i w:val="0"/>
          <w:color w:val="167C80"/>
          <w:sz w:val="18"/>
        </w:rPr>
        <w:t>authorize</w:t>
      </w:r>
      <w:r>
        <w:rPr>
          <w:b w:val="0"/>
          <w:i w:val="0"/>
        </w:rPr>
        <w:t xml:space="preserve"> limita las operaciones según el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Método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Ruta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Función</w:t>
            </w:r>
          </w:p>
        </w:tc>
        <w:tc>
          <w:tcPr>
            <w:tcW w:type="dxa" w:w="2484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Acceso previsto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/api/auth/register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Registrar una cuenta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Público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/api/auth/login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Iniciar sesión y obtener JWT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Público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/api/auth/me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Consultar el perfil autenticado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Autenticado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/api/thesis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Listar tesis visibles para el usuario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Autenticado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/api/thesis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Crear una tesis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Estudiante o administrador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/api/thesis/:id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Consultar el detalle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Propietario, tribunal asignado o administrador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/api/thesis/:id/versions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Añadir una versión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Estudiante propietario o administrador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/api/thesis/:id/reviews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Añadir una revisión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Tribunal asignado o administrador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PUT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/api/thesis/:id/assign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Asignar asesores y tribunal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Administrador</w:t>
            </w:r>
          </w:p>
        </w:tc>
      </w:tr>
      <w:tr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PUT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/api/thesis/:id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Actualizar campos de la tesis</w:t>
            </w:r>
          </w:p>
        </w:tc>
        <w:tc>
          <w:tcPr>
            <w:tcW w:type="dxa" w:w="2484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Estudiante propietario o administrador; calificación y estado solo para administrador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/api/health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Comprobar disponibilidad de la API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Público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La API utiliza respuestas como 201 para creación, 400 para datos inválidos, 401 para falta de autenticación, 403 para permisos insuficientes y 404 para recursos inexistentes. El manejador central también traduce errores de validación de Mongoose.</w:t>
      </w:r>
    </w:p>
    <w:p>
      <w:pPr>
        <w:pStyle w:val="Heading2"/>
      </w:pPr>
      <w:r>
        <w:rPr>
          <w:b w:val="0"/>
          <w:i w:val="0"/>
        </w:rPr>
        <w:t>6. Modelo NoSQL y decisiones de persistencia</w:t>
      </w:r>
    </w:p>
    <w:p>
      <w:r>
        <w:rPr>
          <w:b w:val="0"/>
          <w:i w:val="0"/>
        </w:rPr>
        <w:t xml:space="preserve">La colección </w:t>
      </w:r>
      <w:r>
        <w:rPr>
          <w:rFonts w:ascii="Consolas" w:hAnsi="Consolas"/>
          <w:b w:val="0"/>
          <w:i w:val="0"/>
          <w:color w:val="167C80"/>
          <w:sz w:val="18"/>
        </w:rPr>
        <w:t>users</w:t>
      </w:r>
      <w:r>
        <w:rPr>
          <w:b w:val="0"/>
          <w:i w:val="0"/>
        </w:rPr>
        <w:t xml:space="preserve"> conserva por separado los datos de identidad y rol. El documento </w:t>
      </w:r>
      <w:r>
        <w:rPr>
          <w:rFonts w:ascii="Consolas" w:hAnsi="Consolas"/>
          <w:b w:val="0"/>
          <w:i w:val="0"/>
          <w:color w:val="167C80"/>
          <w:sz w:val="18"/>
        </w:rPr>
        <w:t>theses</w:t>
      </w:r>
      <w:r>
        <w:rPr>
          <w:b w:val="0"/>
          <w:i w:val="0"/>
        </w:rPr>
        <w:t xml:space="preserve"> referencia al estudiante, asesores, tribunal, autores de versiones y revisores mediante </w:t>
      </w:r>
      <w:r>
        <w:rPr>
          <w:rFonts w:ascii="Consolas" w:hAnsi="Consolas"/>
          <w:b w:val="0"/>
          <w:i w:val="0"/>
          <w:color w:val="167C80"/>
          <w:sz w:val="18"/>
        </w:rPr>
        <w:t>ObjectId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ref: 'User'</w:t>
      </w:r>
      <w:r>
        <w:rPr>
          <w:b w:val="0"/>
          <w:i w:val="0"/>
        </w:rPr>
        <w:t xml:space="preserve">. Al consultar una tesis, </w:t>
      </w:r>
      <w:r>
        <w:rPr>
          <w:rFonts w:ascii="Consolas" w:hAnsi="Consolas"/>
          <w:b w:val="0"/>
          <w:i w:val="0"/>
          <w:color w:val="167C80"/>
          <w:sz w:val="18"/>
        </w:rPr>
        <w:t>populate</w:t>
      </w:r>
      <w:r>
        <w:rPr>
          <w:b w:val="0"/>
          <w:i w:val="0"/>
        </w:rPr>
        <w:t xml:space="preserve"> permite presentar los nombres y datos requeridos sin duplicar perfiles completos dentro de cada tesis.</w:t>
      </w:r>
    </w:p>
    <w:p>
      <w:r>
        <w:rPr>
          <w:b w:val="0"/>
          <w:i w:val="0"/>
        </w:rPr>
        <w:t>Las versiones y revisiones se modelan como subdocumentos de la tesis. Su relación directa con el ciclo de vida del trabajo hace práctico consultarlas junto con este, conservar su historial y actualizarlas como parte del mismo agregado. Los esquemas incluyen campos obligatorios, estados permitidos y límites de puntuación. También se define un índice de texto para buscar por título, resumen y palabras clave.</w:t>
      </w:r>
    </w:p>
    <w:p>
      <w:r>
        <w:rPr>
          <w:b w:val="0"/>
          <w:i w:val="0"/>
        </w:rPr>
        <w:t>Esta combinación evita tanto el embebido indiscriminado de usuarios como la fragmentación de eventos que normalmente se leen junto con la tesis.</w:t>
      </w:r>
    </w:p>
    <w:p>
      <w:pPr>
        <w:pStyle w:val="Heading2"/>
      </w:pPr>
      <w:r>
        <w:rPr>
          <w:b w:val="0"/>
          <w:i w:val="0"/>
        </w:rPr>
        <w:t>7. Autenticación y configuración segura</w:t>
      </w:r>
    </w:p>
    <w:p>
      <w:pPr>
        <w:pStyle w:val="ListNumber"/>
      </w:pPr>
      <w:r>
        <w:rPr>
          <w:b w:val="0"/>
          <w:i w:val="0"/>
        </w:rPr>
        <w:t>El usuario inicia sesión o se registra; el servidor compara la contraseña y firma un JWT con el identificador del usuario. El JWT está firmado, no cifrado.</w:t>
      </w:r>
    </w:p>
    <w:p>
      <w:pPr>
        <w:pStyle w:val="ListNumber"/>
      </w:pPr>
      <w:r>
        <w:rPr>
          <w:b w:val="0"/>
          <w:i w:val="0"/>
        </w:rPr>
        <w:t xml:space="preserve">El token contiene el identificador, no la contraseña. El vencimiento se configura con </w:t>
      </w:r>
      <w:r>
        <w:rPr>
          <w:rFonts w:ascii="Consolas" w:hAnsi="Consolas"/>
          <w:b w:val="0"/>
          <w:i w:val="0"/>
          <w:color w:val="167C80"/>
          <w:sz w:val="18"/>
        </w:rPr>
        <w:t>JWT_EXPIRES_IN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El frontend conserva el token en </w:t>
      </w:r>
      <w:r>
        <w:rPr>
          <w:rFonts w:ascii="Consolas" w:hAnsi="Consolas"/>
          <w:b w:val="0"/>
          <w:i w:val="0"/>
          <w:color w:val="167C80"/>
          <w:sz w:val="18"/>
        </w:rPr>
        <w:t>localStorage</w:t>
      </w:r>
      <w:r>
        <w:rPr>
          <w:b w:val="0"/>
          <w:i w:val="0"/>
        </w:rPr>
        <w:t xml:space="preserve"> y Axios lo envía como </w:t>
      </w:r>
      <w:r>
        <w:rPr>
          <w:rFonts w:ascii="Consolas" w:hAnsi="Consolas"/>
          <w:b w:val="0"/>
          <w:i w:val="0"/>
          <w:color w:val="167C80"/>
          <w:sz w:val="18"/>
        </w:rPr>
        <w:t>Authorization: Bearer &lt;token&gt;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rFonts w:ascii="Consolas" w:hAnsi="Consolas"/>
          <w:b w:val="0"/>
          <w:i w:val="0"/>
          <w:color w:val="167C80"/>
          <w:sz w:val="18"/>
        </w:rPr>
        <w:t>protect</w:t>
      </w:r>
      <w:r>
        <w:rPr>
          <w:b w:val="0"/>
          <w:i w:val="0"/>
        </w:rPr>
        <w:t xml:space="preserve"> verifica la firma y carga al usuario sin su contraseña; </w:t>
      </w:r>
      <w:r>
        <w:rPr>
          <w:rFonts w:ascii="Consolas" w:hAnsi="Consolas"/>
          <w:b w:val="0"/>
          <w:i w:val="0"/>
          <w:color w:val="167C80"/>
          <w:sz w:val="18"/>
        </w:rPr>
        <w:t>authorize</w:t>
      </w:r>
      <w:r>
        <w:rPr>
          <w:b w:val="0"/>
          <w:i w:val="0"/>
        </w:rPr>
        <w:t xml:space="preserve"> comprueba el rol cuando la ruta lo exige.</w:t>
      </w:r>
    </w:p>
    <w:p>
      <w:pPr>
        <w:pStyle w:val="ListNumber"/>
      </w:pPr>
      <w:r>
        <w:rPr>
          <w:b w:val="0"/>
          <w:i w:val="0"/>
        </w:rPr>
        <w:t xml:space="preserve">Las contraseñas se procesan con bcrypt y 12 rondas de sal. El campo </w:t>
      </w:r>
      <w:r>
        <w:rPr>
          <w:rFonts w:ascii="Consolas" w:hAnsi="Consolas"/>
          <w:b w:val="0"/>
          <w:i w:val="0"/>
          <w:color w:val="167C80"/>
          <w:sz w:val="18"/>
        </w:rPr>
        <w:t>password</w:t>
      </w:r>
      <w:r>
        <w:rPr>
          <w:b w:val="0"/>
          <w:i w:val="0"/>
        </w:rPr>
        <w:t xml:space="preserve"> no se selecciona por defecto en consultas Mongoose.</w:t>
      </w:r>
    </w:p>
    <w:p>
      <w:r>
        <w:rPr>
          <w:b w:val="0"/>
          <w:i w:val="0"/>
        </w:rPr>
        <w:t xml:space="preserve">El registro público crea cuentas de estudiante; enviar un campo </w:t>
      </w:r>
      <w:r>
        <w:rPr>
          <w:rFonts w:ascii="Consolas" w:hAnsi="Consolas"/>
          <w:b w:val="0"/>
          <w:i w:val="0"/>
          <w:color w:val="167C80"/>
          <w:sz w:val="18"/>
        </w:rPr>
        <w:t>role</w:t>
      </w:r>
      <w:r>
        <w:rPr>
          <w:b w:val="0"/>
          <w:i w:val="0"/>
        </w:rPr>
        <w:t xml:space="preserve"> en la solicitud no concede privilegios. Las cuentas de tribunal y administración deben prepararse por un proceso interno. Un miembro del tribunal solo consulta y revisa tesis que le fueron asignadas. En la actualización, el estudiante solo puede cambiar su propia tesis y no puede asignar estados ni nota final; esas dos acciones quedan para administración.</w:t>
      </w:r>
    </w:p>
    <w:p>
      <w:r>
        <w:rPr>
          <w:rFonts w:ascii="Consolas" w:hAnsi="Consolas"/>
          <w:b w:val="0"/>
          <w:i w:val="0"/>
          <w:color w:val="167C80"/>
          <w:sz w:val="18"/>
        </w:rPr>
        <w:t>MONGODB_URI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JWT_SECRET</w:t>
      </w:r>
      <w:r>
        <w:rPr>
          <w:b w:val="0"/>
          <w:i w:val="0"/>
        </w:rPr>
        <w:t xml:space="preserve"> se configuran en </w:t>
      </w:r>
      <w:r>
        <w:rPr>
          <w:rFonts w:ascii="Consolas" w:hAnsi="Consolas"/>
          <w:b w:val="0"/>
          <w:i w:val="0"/>
          <w:color w:val="167C80"/>
          <w:sz w:val="18"/>
        </w:rPr>
        <w:t>backend/.env</w:t>
      </w:r>
      <w:r>
        <w:rPr>
          <w:b w:val="0"/>
          <w:i w:val="0"/>
        </w:rPr>
        <w:t xml:space="preserve">, que no debe publicarse. El repositorio contiene una plantilla </w:t>
      </w:r>
      <w:r>
        <w:rPr>
          <w:rFonts w:ascii="Consolas" w:hAnsi="Consolas"/>
          <w:b w:val="0"/>
          <w:i w:val="0"/>
          <w:color w:val="167C80"/>
          <w:sz w:val="18"/>
        </w:rPr>
        <w:t>.env.example</w:t>
      </w:r>
      <w:r>
        <w:rPr>
          <w:b w:val="0"/>
          <w:i w:val="0"/>
        </w:rPr>
        <w:t xml:space="preserve"> con valores de ejemplo; para una base alojada, se reemplazan localmente por la URI y el secreto correspondientes. Nunca se debe mostrar un secreto ni un JWT en las capturas.</w:t>
      </w:r>
    </w:p>
    <w:p>
      <w:pPr>
        <w:pStyle w:val="Heading2"/>
      </w:pPr>
      <w:r>
        <w:rPr>
          <w:b w:val="0"/>
          <w:i w:val="0"/>
        </w:rPr>
        <w:t>8. Instalación y ejecución en Windows</w:t>
      </w:r>
    </w:p>
    <w:p>
      <w:r>
        <w:rPr>
          <w:b w:val="0"/>
          <w:i w:val="0"/>
        </w:rPr>
        <w:t xml:space="preserve">Se requiere Node.js 18 o superior, npm y una instancia accesible de MongoDB local o Atlas. El proyecto incluye archivos </w:t>
      </w:r>
      <w:r>
        <w:rPr>
          <w:rFonts w:ascii="Consolas" w:hAnsi="Consolas"/>
          <w:b w:val="0"/>
          <w:i w:val="0"/>
          <w:color w:val="167C80"/>
          <w:sz w:val="18"/>
        </w:rPr>
        <w:t>package-lock.json</w:t>
      </w:r>
      <w:r>
        <w:rPr>
          <w:b w:val="0"/>
          <w:i w:val="0"/>
        </w:rPr>
        <w:t xml:space="preserve">; por eso </w:t>
      </w:r>
      <w:r>
        <w:rPr>
          <w:rFonts w:ascii="Consolas" w:hAnsi="Consolas"/>
          <w:b w:val="0"/>
          <w:i w:val="0"/>
          <w:color w:val="167C80"/>
          <w:sz w:val="18"/>
        </w:rPr>
        <w:t>npm install</w:t>
      </w:r>
      <w:r>
        <w:rPr>
          <w:b w:val="0"/>
          <w:i w:val="0"/>
        </w:rPr>
        <w:t xml:space="preserve"> puede reconstruir las dependencias. No es necesario entregar ni copiar </w:t>
      </w:r>
      <w:r>
        <w:rPr>
          <w:rFonts w:ascii="Consolas" w:hAnsi="Consolas"/>
          <w:b w:val="0"/>
          <w:i w:val="0"/>
          <w:color w:val="167C80"/>
          <w:sz w:val="18"/>
        </w:rPr>
        <w:t>node_modules</w:t>
      </w:r>
      <w:r>
        <w:rPr>
          <w:b w:val="0"/>
          <w:i w:val="0"/>
        </w:rPr>
        <w:t>.</w:t>
      </w:r>
    </w:p>
    <w:p>
      <w:r>
        <w:rPr>
          <w:b/>
          <w:i w:val="0"/>
        </w:rPr>
        <w:t>Terminal 1 — API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cd Caso1\codigo\backend</w:t>
        <w:br/>
        <w:t>Copy-Item .env.example .env</w:t>
        <w:br/>
        <w:t>notepad .env</w:t>
        <w:br/>
        <w:t>npm install</w:t>
        <w:br/>
        <w:t>npm run dev</w:t>
      </w:r>
    </w:p>
    <w:p>
      <w:r>
        <w:rPr>
          <w:b w:val="0"/>
          <w:i w:val="0"/>
        </w:rPr>
        <w:t xml:space="preserve">En </w:t>
      </w:r>
      <w:r>
        <w:rPr>
          <w:rFonts w:ascii="Consolas" w:hAnsi="Consolas"/>
          <w:b w:val="0"/>
          <w:i w:val="0"/>
          <w:color w:val="167C80"/>
          <w:sz w:val="18"/>
        </w:rPr>
        <w:t>.env</w:t>
      </w:r>
      <w:r>
        <w:rPr>
          <w:b w:val="0"/>
          <w:i w:val="0"/>
        </w:rPr>
        <w:t xml:space="preserve">, configurar </w:t>
      </w:r>
      <w:r>
        <w:rPr>
          <w:rFonts w:ascii="Consolas" w:hAnsi="Consolas"/>
          <w:b w:val="0"/>
          <w:i w:val="0"/>
          <w:color w:val="167C80"/>
          <w:sz w:val="18"/>
        </w:rPr>
        <w:t>MONGODB_URI</w:t>
      </w:r>
      <w:r>
        <w:rPr>
          <w:b w:val="0"/>
          <w:i w:val="0"/>
        </w:rPr>
        <w:t xml:space="preserve">, un </w:t>
      </w:r>
      <w:r>
        <w:rPr>
          <w:rFonts w:ascii="Consolas" w:hAnsi="Consolas"/>
          <w:b w:val="0"/>
          <w:i w:val="0"/>
          <w:color w:val="167C80"/>
          <w:sz w:val="18"/>
        </w:rPr>
        <w:t>JWT_SECRET</w:t>
      </w:r>
      <w:r>
        <w:rPr>
          <w:b w:val="0"/>
          <w:i w:val="0"/>
        </w:rPr>
        <w:t xml:space="preserve"> propio y </w:t>
      </w:r>
      <w:r>
        <w:rPr>
          <w:rFonts w:ascii="Consolas" w:hAnsi="Consolas"/>
          <w:b w:val="0"/>
          <w:i w:val="0"/>
          <w:color w:val="167C80"/>
          <w:sz w:val="18"/>
        </w:rPr>
        <w:t>PORT=5000</w:t>
      </w:r>
      <w:r>
        <w:rPr>
          <w:b w:val="0"/>
          <w:i w:val="0"/>
        </w:rPr>
        <w:t xml:space="preserve">. Si ya existe un </w:t>
      </w:r>
      <w:r>
        <w:rPr>
          <w:rFonts w:ascii="Consolas" w:hAnsi="Consolas"/>
          <w:b w:val="0"/>
          <w:i w:val="0"/>
          <w:color w:val="167C80"/>
          <w:sz w:val="18"/>
        </w:rPr>
        <w:t>.env</w:t>
      </w:r>
      <w:r>
        <w:rPr>
          <w:b w:val="0"/>
          <w:i w:val="0"/>
        </w:rPr>
        <w:t xml:space="preserve">, no lo sobrescribas: revisa que tenga esos valores. La API queda en </w:t>
      </w:r>
      <w:r>
        <w:rPr>
          <w:rFonts w:ascii="Consolas" w:hAnsi="Consolas"/>
          <w:b w:val="0"/>
          <w:i w:val="0"/>
          <w:color w:val="167C80"/>
          <w:sz w:val="18"/>
        </w:rPr>
        <w:t>http://localhost:5000</w:t>
      </w:r>
      <w:r>
        <w:rPr>
          <w:b w:val="0"/>
          <w:i w:val="0"/>
        </w:rPr>
        <w:t xml:space="preserve">; su comprobación de estado está en </w:t>
      </w:r>
      <w:r>
        <w:rPr>
          <w:rFonts w:ascii="Consolas" w:hAnsi="Consolas"/>
          <w:b w:val="0"/>
          <w:i w:val="0"/>
          <w:color w:val="167C80"/>
          <w:sz w:val="18"/>
        </w:rPr>
        <w:t>http://localhost:5000/api/health</w:t>
      </w:r>
      <w:r>
        <w:rPr>
          <w:b w:val="0"/>
          <w:i w:val="0"/>
        </w:rPr>
        <w:t>.</w:t>
      </w:r>
    </w:p>
    <w:p>
      <w:r>
        <w:rPr>
          <w:b/>
          <w:i w:val="0"/>
        </w:rPr>
        <w:t>Terminal 2 — interfaz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cd Caso1\codigo\frontend</w:t>
        <w:br/>
        <w:t>npm install</w:t>
        <w:br/>
        <w:t>npm run dev</w:t>
      </w:r>
    </w:p>
    <w:p>
      <w:r>
        <w:rPr>
          <w:b w:val="0"/>
          <w:i w:val="0"/>
        </w:rPr>
        <w:t xml:space="preserve">Abrir </w:t>
      </w:r>
      <w:r>
        <w:rPr>
          <w:rFonts w:ascii="Consolas" w:hAnsi="Consolas"/>
          <w:b w:val="0"/>
          <w:i w:val="0"/>
          <w:color w:val="167C80"/>
          <w:sz w:val="18"/>
        </w:rPr>
        <w:t>http://localhost:3000</w:t>
      </w:r>
      <w:r>
        <w:rPr>
          <w:b w:val="0"/>
          <w:i w:val="0"/>
        </w:rPr>
        <w:t xml:space="preserve">. Vite redirige las solicitudes </w:t>
      </w:r>
      <w:r>
        <w:rPr>
          <w:rFonts w:ascii="Consolas" w:hAnsi="Consolas"/>
          <w:b w:val="0"/>
          <w:i w:val="0"/>
          <w:color w:val="167C80"/>
          <w:sz w:val="18"/>
        </w:rPr>
        <w:t>/api</w:t>
      </w:r>
      <w:r>
        <w:rPr>
          <w:b w:val="0"/>
          <w:i w:val="0"/>
        </w:rPr>
        <w:t xml:space="preserve"> hacia la API del puerto 5000.</w:t>
      </w:r>
    </w:p>
    <w:p>
      <w:pPr>
        <w:pStyle w:val="Heading2"/>
      </w:pPr>
      <w:r>
        <w:rPr>
          <w:b w:val="0"/>
          <w:i w:val="0"/>
        </w:rPr>
        <w:t>9. Guion de demostración y evidencias</w:t>
      </w:r>
    </w:p>
    <w:p>
      <w:r>
        <w:rPr>
          <w:b w:val="0"/>
          <w:i w:val="0"/>
        </w:rPr>
        <w:t>Usar cuentas y datos de prueba, nunca credenciales reales. Para demostrar los distintos roles, preparar cuentas de estudiante, tribunal y administrador. Cada evidencia muestra una etapa concreta del recorrido; las capturas no incluyen contraseñas ni 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Archivo sugerido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Qué debe mostrar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evidencias/01-login.png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Acceso al portal académico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evidencias/02-registro.png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Formulario de registro con roles de demostración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evidencias/03-panel-estudiante.png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Panel del estudiante y tesis registradas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evidencias/04-nueva-tesis.png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Formulario de creación de un trabajo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evidencias/05-detalle-tesis.png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Resumen, estado y datos de una tesis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evidencias/06-nueva-version.png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Versión agregada y campos de observación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evidencias/07-revision-tribunal.png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Revisión, comentarios y decisión del tribunal</w:t>
            </w:r>
          </w:p>
        </w:tc>
      </w:tr>
      <w:tr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evidencias/08-api-health.png</w:t>
            </w:r>
          </w:p>
        </w:tc>
        <w:tc>
          <w:tcPr>
            <w:tcW w:type="dxa" w:w="4968"/>
            <w:vAlign w:val="center"/>
            <w:shd w:fill="F5F8FA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 xml:space="preserve">Respuesta de </w:t>
            </w:r>
            <w:r>
              <w:rPr>
                <w:rFonts w:ascii="Consolas" w:hAnsi="Consolas"/>
                <w:b w:val="0"/>
                <w:i w:val="0"/>
                <w:color w:val="167C80"/>
                <w:sz w:val="17"/>
              </w:rPr>
              <w:t>/api/health</w:t>
            </w:r>
            <w:r>
              <w:rPr>
                <w:b w:val="0"/>
                <w:i w:val="0"/>
                <w:sz w:val="17"/>
              </w:rPr>
              <w:t xml:space="preserve"> en la API en ejecución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Recorrido recomendado:</w:t>
      </w:r>
      <w:r>
        <w:rPr>
          <w:b w:val="0"/>
          <w:i w:val="0"/>
        </w:rPr>
        <w:t xml:space="preserve"> iniciar sesión como estudiante, crear una tesis, registrar una versión, consultar el detalle, entrar con una cuenta de tribunal y guardar una revisión. Finalmente, mostrar que la API protege las operaciones que requieren otro rol. No afirmar que se probó un paso si no se ejecutó.</w:t>
      </w:r>
    </w:p>
    <w:p>
      <w:pPr>
        <w:pStyle w:val="Heading3"/>
      </w:pPr>
      <w:r>
        <w:rPr>
          <w:b w:val="0"/>
          <w:i w:val="0"/>
        </w:rPr>
        <w:t>Capturas de ejecución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01. Acceso a EducaVault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02. Registro en EducaVault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nel-estudia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03. Panel del estudiante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ueva-te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04. Creación de una tesis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lle-te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05. Detalle de tesis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708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ueva-ver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0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06. Historial y nueva versión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244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vision-tribu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4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07. Revisión del tribunal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33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i-heal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167C80"/>
          <w:sz w:val="18"/>
        </w:rPr>
        <w:t>08. Comprobación de la API</w:t>
      </w:r>
    </w:p>
    <w:p>
      <w:pPr>
        <w:pStyle w:val="Heading2"/>
      </w:pPr>
      <w:r>
        <w:rPr>
          <w:b w:val="0"/>
          <w:i w:val="0"/>
        </w:rPr>
        <w:t>10. Cuestionario de verificación de autoría y defensa técnica</w:t>
      </w:r>
    </w:p>
    <w:p>
      <w:pPr>
        <w:pStyle w:val="Heading3"/>
      </w:pPr>
      <w:r>
        <w:rPr>
          <w:b w:val="0"/>
          <w:i w:val="0"/>
        </w:rPr>
        <w:t>1. Flujo integral de autenticación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Explique el ciclo de vida de la autenticación: desde el ingreso de credenciales en React, la generación del JWT en el backend, hasta el envío de </w:t>
      </w:r>
      <w:r>
        <w:rPr>
          <w:rFonts w:ascii="Consolas" w:hAnsi="Consolas"/>
          <w:b w:val="0"/>
          <w:i w:val="0"/>
          <w:color w:val="167C80"/>
          <w:sz w:val="18"/>
        </w:rPr>
        <w:t>Authorization: Bearer &lt;token&gt;</w:t>
      </w:r>
      <w:r>
        <w:rPr>
          <w:b w:val="0"/>
          <w:i w:val="0"/>
        </w:rPr>
        <w:t xml:space="preserve"> y la validación en una ruta protegida.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En el registro o inicio de sesión, React envía el correo y la contraseña a </w:t>
      </w:r>
      <w:r>
        <w:rPr>
          <w:rFonts w:ascii="Consolas" w:hAnsi="Consolas"/>
          <w:b w:val="0"/>
          <w:i w:val="0"/>
          <w:color w:val="167C80"/>
          <w:sz w:val="18"/>
        </w:rPr>
        <w:t>POST /api/auth/register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color w:val="167C80"/>
          <w:sz w:val="18"/>
        </w:rPr>
        <w:t>POST /api/auth/login</w:t>
      </w:r>
      <w:r>
        <w:rPr>
          <w:b w:val="0"/>
          <w:i w:val="0"/>
        </w:rPr>
        <w:t xml:space="preserve">. El backend comprueba los datos; en el inicio de sesión compara la contraseña con su hash bcrypt. Si son válidos, </w:t>
      </w:r>
      <w:r>
        <w:rPr>
          <w:rFonts w:ascii="Consolas" w:hAnsi="Consolas"/>
          <w:b w:val="0"/>
          <w:i w:val="0"/>
          <w:color w:val="167C80"/>
          <w:sz w:val="18"/>
        </w:rPr>
        <w:t>generateToken</w:t>
      </w:r>
      <w:r>
        <w:rPr>
          <w:b w:val="0"/>
          <w:i w:val="0"/>
        </w:rPr>
        <w:t xml:space="preserve"> firma un JWT con el identificador de usuario y una fecha de expiración. El frontend guarda el token en </w:t>
      </w:r>
      <w:r>
        <w:rPr>
          <w:rFonts w:ascii="Consolas" w:hAnsi="Consolas"/>
          <w:b w:val="0"/>
          <w:i w:val="0"/>
          <w:color w:val="167C80"/>
          <w:sz w:val="18"/>
        </w:rPr>
        <w:t>localStorage</w:t>
      </w:r>
      <w:r>
        <w:rPr>
          <w:b w:val="0"/>
          <w:i w:val="0"/>
        </w:rPr>
        <w:t xml:space="preserve">. El cliente Axios lo agrega a las solicitudes protegidas como </w:t>
      </w:r>
      <w:r>
        <w:rPr>
          <w:rFonts w:ascii="Consolas" w:hAnsi="Consolas"/>
          <w:b w:val="0"/>
          <w:i w:val="0"/>
          <w:color w:val="167C80"/>
          <w:sz w:val="18"/>
        </w:rPr>
        <w:t>Authorization: Bearer &lt;token&gt;</w:t>
      </w:r>
      <w:r>
        <w:rPr>
          <w:b w:val="0"/>
          <w:i w:val="0"/>
        </w:rPr>
        <w:t xml:space="preserve">. En el middleware </w:t>
      </w:r>
      <w:r>
        <w:rPr>
          <w:rFonts w:ascii="Consolas" w:hAnsi="Consolas"/>
          <w:b w:val="0"/>
          <w:i w:val="0"/>
          <w:color w:val="167C80"/>
          <w:sz w:val="18"/>
        </w:rPr>
        <w:t>protect</w:t>
      </w:r>
      <w:r>
        <w:rPr>
          <w:b w:val="0"/>
          <w:i w:val="0"/>
        </w:rPr>
        <w:t xml:space="preserve">, el backend extrae el token, ejecuta </w:t>
      </w:r>
      <w:r>
        <w:rPr>
          <w:rFonts w:ascii="Consolas" w:hAnsi="Consolas"/>
          <w:b w:val="0"/>
          <w:i w:val="0"/>
          <w:color w:val="167C80"/>
          <w:sz w:val="18"/>
        </w:rPr>
        <w:t>jwt.verify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67C80"/>
          <w:sz w:val="18"/>
        </w:rPr>
        <w:t>JWT_SECRET</w:t>
      </w:r>
      <w:r>
        <w:rPr>
          <w:b w:val="0"/>
          <w:i w:val="0"/>
        </w:rPr>
        <w:t xml:space="preserve">, busca al usuario correspondiente y continúa la solicitud solo si el token es válido y la cuenta está activa. Después, </w:t>
      </w:r>
      <w:r>
        <w:rPr>
          <w:rFonts w:ascii="Consolas" w:hAnsi="Consolas"/>
          <w:b w:val="0"/>
          <w:i w:val="0"/>
          <w:color w:val="167C80"/>
          <w:sz w:val="18"/>
        </w:rPr>
        <w:t>authorize</w:t>
      </w:r>
      <w:r>
        <w:rPr>
          <w:b w:val="0"/>
          <w:i w:val="0"/>
        </w:rPr>
        <w:t xml:space="preserve"> comprueba los permisos de rol cuando la ruta lo requiere.</w:t>
      </w:r>
    </w:p>
    <w:p>
      <w:pPr>
        <w:pStyle w:val="Heading3"/>
      </w:pPr>
      <w:r>
        <w:rPr>
          <w:b w:val="0"/>
          <w:i w:val="0"/>
        </w:rPr>
        <w:t>2. Justificación del modelado NoSQL con Mongoose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¿Qué colecciones estableció y por qué utilizó referencias cruzadas en lugar de embeber todos los datos? Explique el efecto en escalabilidad y consistencia.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El sistema utiliza las colecciones </w:t>
      </w:r>
      <w:r>
        <w:rPr>
          <w:rFonts w:ascii="Consolas" w:hAnsi="Consolas"/>
          <w:b w:val="0"/>
          <w:i w:val="0"/>
          <w:color w:val="167C80"/>
          <w:sz w:val="18"/>
        </w:rPr>
        <w:t>users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theses</w:t>
      </w:r>
      <w:r>
        <w:rPr>
          <w:b w:val="0"/>
          <w:i w:val="0"/>
        </w:rPr>
        <w:t xml:space="preserve">. La tesis referencia mediante </w:t>
      </w:r>
      <w:r>
        <w:rPr>
          <w:rFonts w:ascii="Consolas" w:hAnsi="Consolas"/>
          <w:b w:val="0"/>
          <w:i w:val="0"/>
          <w:color w:val="167C80"/>
          <w:sz w:val="18"/>
        </w:rPr>
        <w:t>ObjectId</w:t>
      </w:r>
      <w:r>
        <w:rPr>
          <w:b w:val="0"/>
          <w:i w:val="0"/>
        </w:rPr>
        <w:t xml:space="preserve"> al estudiante, los asesores y el tribunal. Así, cada usuario mantiene un único perfil y los cambios a sus datos no requieren actualizar todas sus tesis. Las consultas usan </w:t>
      </w:r>
      <w:r>
        <w:rPr>
          <w:rFonts w:ascii="Consolas" w:hAnsi="Consolas"/>
          <w:b w:val="0"/>
          <w:i w:val="0"/>
          <w:color w:val="167C80"/>
          <w:sz w:val="18"/>
        </w:rPr>
        <w:t>populate</w:t>
      </w:r>
      <w:r>
        <w:rPr>
          <w:b w:val="0"/>
          <w:i w:val="0"/>
        </w:rPr>
        <w:t xml:space="preserve"> para obtener los datos de usuario que la pantalla necesita. Las versiones y revisiones sí se guardan como subdocumentos de la tesis, porque pertenecen a su historial y suelen consultarse junto con ella. Esta combinación reduce la duplicación de perfiles y mantiene juntos los datos propios del ciclo de vida de una tesis.</w:t>
      </w:r>
    </w:p>
    <w:p>
      <w:pPr>
        <w:pStyle w:val="Heading3"/>
      </w:pPr>
      <w:r>
        <w:rPr>
          <w:b w:val="0"/>
          <w:i w:val="0"/>
        </w:rPr>
        <w:t>3. Manejo seguro de secretos y configuración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¿Por qué es mala práctica escribir contraseñas de base de datos o secretos JWT directamente en el código? ¿Cómo ayudan </w:t>
      </w:r>
      <w:r>
        <w:rPr>
          <w:rFonts w:ascii="Consolas" w:hAnsi="Consolas"/>
          <w:b w:val="0"/>
          <w:i w:val="0"/>
          <w:color w:val="167C80"/>
          <w:sz w:val="18"/>
        </w:rPr>
        <w:t>dotenv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.gitignore</w:t>
      </w:r>
      <w:r>
        <w:rPr>
          <w:b w:val="0"/>
          <w:i w:val="0"/>
        </w:rPr>
        <w:t>?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Un secreto escrito en el código puede terminar en Git, en copias del repositorio o en registros compartidos; alguien que lo obtenga podría conectarse a la base de datos o firmar tokens. EducaVault carga la configuración con </w:t>
      </w:r>
      <w:r>
        <w:rPr>
          <w:rFonts w:ascii="Consolas" w:hAnsi="Consolas"/>
          <w:b w:val="0"/>
          <w:i w:val="0"/>
          <w:color w:val="167C80"/>
          <w:sz w:val="18"/>
        </w:rPr>
        <w:t>require('dotenv').config()</w:t>
      </w:r>
      <w:r>
        <w:rPr>
          <w:b w:val="0"/>
          <w:i w:val="0"/>
        </w:rPr>
        <w:t xml:space="preserve"> y lee </w:t>
      </w:r>
      <w:r>
        <w:rPr>
          <w:rFonts w:ascii="Consolas" w:hAnsi="Consolas"/>
          <w:b w:val="0"/>
          <w:i w:val="0"/>
          <w:color w:val="167C80"/>
          <w:sz w:val="18"/>
        </w:rPr>
        <w:t>MONGODB_URI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JWT_SECRET</w:t>
      </w:r>
      <w:r>
        <w:rPr>
          <w:b w:val="0"/>
          <w:i w:val="0"/>
        </w:rPr>
        <w:t xml:space="preserve"> desde </w:t>
      </w:r>
      <w:r>
        <w:rPr>
          <w:rFonts w:ascii="Consolas" w:hAnsi="Consolas"/>
          <w:b w:val="0"/>
          <w:i w:val="0"/>
          <w:color w:val="167C80"/>
          <w:sz w:val="18"/>
        </w:rPr>
        <w:t>process.env</w:t>
      </w:r>
      <w:r>
        <w:rPr>
          <w:b w:val="0"/>
          <w:i w:val="0"/>
        </w:rPr>
        <w:t xml:space="preserve">. El archivo </w:t>
      </w:r>
      <w:r>
        <w:rPr>
          <w:rFonts w:ascii="Consolas" w:hAnsi="Consolas"/>
          <w:b w:val="0"/>
          <w:i w:val="0"/>
          <w:color w:val="167C80"/>
          <w:sz w:val="18"/>
        </w:rPr>
        <w:t>.gitignore</w:t>
      </w:r>
      <w:r>
        <w:rPr>
          <w:b w:val="0"/>
          <w:i w:val="0"/>
        </w:rPr>
        <w:t xml:space="preserve"> excluye </w:t>
      </w:r>
      <w:r>
        <w:rPr>
          <w:rFonts w:ascii="Consolas" w:hAnsi="Consolas"/>
          <w:b w:val="0"/>
          <w:i w:val="0"/>
          <w:color w:val="167C80"/>
          <w:sz w:val="18"/>
        </w:rPr>
        <w:t>.env</w:t>
      </w:r>
      <w:r>
        <w:rPr>
          <w:b w:val="0"/>
          <w:i w:val="0"/>
        </w:rPr>
        <w:t xml:space="preserve">, por lo que las credenciales locales no se agregan al repositorio. Se comparte solamente </w:t>
      </w:r>
      <w:r>
        <w:rPr>
          <w:rFonts w:ascii="Consolas" w:hAnsi="Consolas"/>
          <w:b w:val="0"/>
          <w:i w:val="0"/>
          <w:color w:val="167C80"/>
          <w:sz w:val="18"/>
        </w:rPr>
        <w:t>.env.example</w:t>
      </w:r>
      <w:r>
        <w:rPr>
          <w:b w:val="0"/>
          <w:i w:val="0"/>
        </w:rPr>
        <w:t xml:space="preserve"> con valores de ejemplo, que deben reemplazarse localmente. </w:t>
      </w:r>
      <w:r>
        <w:rPr>
          <w:rFonts w:ascii="Consolas" w:hAnsi="Consolas"/>
          <w:b w:val="0"/>
          <w:i w:val="0"/>
          <w:color w:val="167C80"/>
          <w:sz w:val="18"/>
        </w:rPr>
        <w:t>dotenv</w:t>
      </w:r>
      <w:r>
        <w:rPr>
          <w:b w:val="0"/>
          <w:i w:val="0"/>
        </w:rPr>
        <w:t xml:space="preserve"> facilita separar configuración y código, pero la protección depende de no publicar el archivo real y de usar secretos fuertes.</w:t>
      </w:r>
    </w:p>
    <w:p>
      <w:pPr>
        <w:pStyle w:val="Heading3"/>
      </w:pPr>
      <w:r>
        <w:rPr>
          <w:b w:val="0"/>
          <w:i w:val="0"/>
        </w:rPr>
        <w:t>4. Trazabilidad de código y autoría</w:t>
      </w:r>
    </w:p>
    <w:p>
      <w:r>
        <w:rPr>
          <w:b/>
          <w:i w:val="0"/>
        </w:rPr>
        <w:t>Pregunta:</w:t>
      </w:r>
      <w:r>
        <w:rPr>
          <w:b w:val="0"/>
          <w:i w:val="0"/>
        </w:rPr>
        <w:t xml:space="preserve"> Identifique y transcriba una línea exacta del backend donde se emite o verifica el JWT. Explique qué contiene el payload y por qué no debe guardar contraseñas, incluso con hash.</w:t>
      </w:r>
    </w:p>
    <w:p>
      <w:r>
        <w:rPr>
          <w:b/>
          <w:i w:val="0"/>
        </w:rPr>
        <w:t>Respuesta:</w:t>
      </w:r>
      <w:r>
        <w:rPr>
          <w:b w:val="0"/>
          <w:i w:val="0"/>
        </w:rPr>
        <w:t xml:space="preserve"> En </w:t>
      </w:r>
      <w:r>
        <w:rPr>
          <w:rFonts w:ascii="Consolas" w:hAnsi="Consolas"/>
          <w:b w:val="0"/>
          <w:i w:val="0"/>
          <w:color w:val="167C80"/>
          <w:sz w:val="18"/>
        </w:rPr>
        <w:t>backend/src/controllers/authController.js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67C80"/>
          <w:sz w:val="18"/>
        </w:rPr>
        <w:t>generateToken</w:t>
      </w:r>
      <w:r>
        <w:rPr>
          <w:b w:val="0"/>
          <w:i w:val="0"/>
        </w:rPr>
        <w:t xml:space="preserve"> emite el token con esta línea: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return jwt.sign({ id }, process.env.JWT_SECRET, {</w:t>
      </w:r>
    </w:p>
    <w:p>
      <w:r>
        <w:rPr>
          <w:b w:val="0"/>
          <w:i w:val="0"/>
        </w:rPr>
        <w:t>El payload propio contiene el identificador del usuario (</w:t>
      </w:r>
      <w:r>
        <w:rPr>
          <w:rFonts w:ascii="Consolas" w:hAnsi="Consolas"/>
          <w:b w:val="0"/>
          <w:i w:val="0"/>
          <w:color w:val="167C80"/>
          <w:sz w:val="18"/>
        </w:rPr>
        <w:t>id</w:t>
      </w:r>
      <w:r>
        <w:rPr>
          <w:b w:val="0"/>
          <w:i w:val="0"/>
        </w:rPr>
        <w:t xml:space="preserve">); la librería añade las marcas de tiempo del token, como </w:t>
      </w:r>
      <w:r>
        <w:rPr>
          <w:rFonts w:ascii="Consolas" w:hAnsi="Consolas"/>
          <w:b w:val="0"/>
          <w:i w:val="0"/>
          <w:color w:val="167C80"/>
          <w:sz w:val="18"/>
        </w:rPr>
        <w:t>iat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67C80"/>
          <w:sz w:val="18"/>
        </w:rPr>
        <w:t>exp</w:t>
      </w:r>
      <w:r>
        <w:rPr>
          <w:b w:val="0"/>
          <w:i w:val="0"/>
        </w:rPr>
        <w:t xml:space="preserve">, según la firma y su expiración configurada. La verificación se realiza en </w:t>
      </w:r>
      <w:r>
        <w:rPr>
          <w:rFonts w:ascii="Consolas" w:hAnsi="Consolas"/>
          <w:b w:val="0"/>
          <w:i w:val="0"/>
          <w:color w:val="167C80"/>
          <w:sz w:val="18"/>
        </w:rPr>
        <w:t>backend/src/middleware/auth.js</w:t>
      </w:r>
      <w:r>
        <w:rPr>
          <w:b w:val="0"/>
          <w:i w:val="0"/>
        </w:rPr>
        <w:t>:</w:t>
      </w:r>
    </w:p>
    <w:p>
      <w:pPr>
        <w:spacing w:before="60" w:after="160"/>
        <w:ind w:left="173" w:right="173"/>
        <w:shd w:fill="F3F5F7"/>
      </w:pPr>
      <w:r>
        <w:rPr>
          <w:rFonts w:ascii="Consolas" w:hAnsi="Consolas"/>
          <w:sz w:val="17"/>
        </w:rPr>
        <w:t>const decoded = jwt.verify(token, process.env.JWT_SECRET);</w:t>
      </w:r>
    </w:p>
    <w:p>
      <w:r>
        <w:rPr>
          <w:b w:val="0"/>
          <w:i w:val="0"/>
        </w:rPr>
        <w:t>El token está firmado, pero no cifrado: quien lo obtiene puede leer su payload. Por eso no se incluyen contraseñas ni hashes; ambos son información sensible, y un hash expuesto puede facilitar ataques de fuerza bruta. En este proyecto, después de verificar el token, el backend recupera el usuario desde MongoDB sin seleccionar el campo de contraseña.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P?gina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C80"/>
        <w:sz w:val="16"/>
      </w:rPr>
      <w:t>INFORME DE PRESENTACI?N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