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 w:val="0"/>
          <w:i w:val="0"/>
        </w:rPr>
        <w:t>Informe de presentación — Caso 1: EducaVault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1. Resumen del caso</w:t>
      </w:r>
    </w:p>
    <w:p>
      <w:r>
        <w:rPr>
          <w:b w:val="0"/>
          <w:i w:val="0"/>
        </w:rPr>
        <w:t>EducaVault es una aplicación web para organizar el seguimiento de tesis y trabajos de grado. La propuesta reúne en un mismo espacio la información del trabajo, sus versiones y las observaciones del tribunal. Así se puede consultar el avance sin depender de archivos dispersos ni perder de vista qué versión fue revisada.</w:t>
      </w:r>
    </w:p>
    <w:p>
      <w:r>
        <w:rPr>
          <w:b w:val="0"/>
          <w:i w:val="0"/>
        </w:rPr>
        <w:t>La solución se compone de una API REST desarrollada con Node.js y Express, una interfaz de página única (SPA) con React y Vite, y MongoDB como base de datos. El acceso a las funciones protegidas requiere autenticación mediante JWT.</w:t>
      </w:r>
    </w:p>
    <w:p>
      <w:pPr>
        <w:pStyle w:val="Heading2"/>
      </w:pPr>
      <w:r>
        <w:rPr>
          <w:b w:val="0"/>
          <w:i w:val="0"/>
        </w:rPr>
        <w:t>2. Problema y objetivo</w:t>
      </w:r>
    </w:p>
    <w:p>
      <w:r>
        <w:rPr>
          <w:b w:val="0"/>
          <w:i w:val="0"/>
        </w:rPr>
        <w:t>En un proceso académico, el documento suele pasar varias veces entre estudiante, asesor y tribunal. Cuando cada participante conserva copias distintas, es difícil saber cuál es la versión vigente, quién hizo una observación y qué decisión se tomó.</w:t>
      </w:r>
    </w:p>
    <w:p>
      <w:r>
        <w:rPr>
          <w:b w:val="0"/>
          <w:i w:val="0"/>
        </w:rPr>
        <w:t>El objetivo de EducaVault es ofrecer un flujo centralizado para registrar tesis, añadir versiones, asignar responsables y conservar revisiones. En esta implementación se almacena la información y los metadatos del archivo (nombre y URL); no se implementa la carga binaria de documentos.</w:t>
      </w:r>
    </w:p>
    <w:p>
      <w:pPr>
        <w:pStyle w:val="Heading2"/>
      </w:pPr>
      <w:r>
        <w:rPr>
          <w:b w:val="0"/>
          <w:i w:val="0"/>
        </w:rPr>
        <w:t>3. Funcionalidades demostrables</w:t>
      </w:r>
    </w:p>
    <w:p>
      <w:pPr>
        <w:pStyle w:val="ListBullet"/>
      </w:pPr>
      <w:r>
        <w:rPr>
          <w:b w:val="0"/>
          <w:i w:val="0"/>
        </w:rPr>
        <w:t>Registro e inicio de sesión con contraseña almacenada como hash bcrypt.</w:t>
      </w:r>
    </w:p>
    <w:p>
      <w:pPr>
        <w:pStyle w:val="ListBullet"/>
      </w:pPr>
      <w:r>
        <w:rPr>
          <w:b w:val="0"/>
          <w:i w:val="0"/>
        </w:rPr>
        <w:t>Panel que presenta tesis según el rol: estudiante, tribunal o administrador.</w:t>
      </w:r>
    </w:p>
    <w:p>
      <w:pPr>
        <w:pStyle w:val="ListBullet"/>
      </w:pPr>
      <w:r>
        <w:rPr>
          <w:b w:val="0"/>
          <w:i w:val="0"/>
        </w:rPr>
        <w:t>Creación de una tesis con título, resumen, carrera y palabras clave.</w:t>
      </w:r>
    </w:p>
    <w:p>
      <w:pPr>
        <w:pStyle w:val="ListBullet"/>
      </w:pPr>
      <w:r>
        <w:rPr>
          <w:b w:val="0"/>
          <w:i w:val="0"/>
        </w:rPr>
        <w:t>Registro de nuevas versiones con observaciones y datos del archivo.</w:t>
      </w:r>
    </w:p>
    <w:p>
      <w:pPr>
        <w:pStyle w:val="ListBullet"/>
      </w:pPr>
      <w:r>
        <w:rPr>
          <w:b w:val="0"/>
          <w:i w:val="0"/>
        </w:rPr>
        <w:t>Asignación de asesores y miembros del tribunal por parte del administrador.</w:t>
      </w:r>
    </w:p>
    <w:p>
      <w:pPr>
        <w:pStyle w:val="ListBullet"/>
      </w:pPr>
      <w:r>
        <w:rPr>
          <w:b w:val="0"/>
          <w:i w:val="0"/>
        </w:rPr>
        <w:t>Registro de una revisión con comentarios, puntuación y veredicto.</w:t>
      </w:r>
    </w:p>
    <w:p>
      <w:pPr>
        <w:pStyle w:val="ListBullet"/>
      </w:pPr>
      <w:r>
        <w:rPr>
          <w:b w:val="0"/>
          <w:i w:val="0"/>
        </w:rPr>
        <w:t>Consulta del estado e historial de versiones y revisiones.</w:t>
      </w:r>
    </w:p>
    <w:p>
      <w:pPr>
        <w:pStyle w:val="ListBullet"/>
      </w:pPr>
      <w:r>
        <w:rPr>
          <w:b w:val="0"/>
          <w:i w:val="0"/>
        </w:rPr>
        <w:t>Rutas protegidas en la interfaz y validación de autenticación y roles en la API.</w:t>
      </w:r>
    </w:p>
    <w:p>
      <w:pPr>
        <w:pStyle w:val="Heading2"/>
      </w:pPr>
      <w:r>
        <w:rPr>
          <w:b w:val="0"/>
          <w:i w:val="0"/>
        </w:rPr>
        <w:t>4. Arquitectura y recorrido de una petición</w:t>
      </w:r>
    </w:p>
    <w:p>
      <w:r>
        <w:rPr>
          <w:b w:val="0"/>
          <w:i w:val="0"/>
        </w:rPr>
        <w:t>La organización separa responsabilidades para facilitar la lectura y el mantenimiento: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Capa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Ubicación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Responsabilidad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Interfaz React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frontend/src/pages/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Formularios, paneles y detalle de tesis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Servicio HTTP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frontend/src/services/api.js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Llamadas a la API e inclusión del token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Rutas REST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backend/src/routes/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Métodos HTTP, rutas y controles de acceso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Controladores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backend/src/controllers/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Reglas del flujo y respuestas JSON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Modelos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backend/src/models/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Esquemas, validaciones y relaciones Mongoose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Middleware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backend/src/middleware/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Autenticación, roles y errores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Por ejemplo, al crear una tesis, React envía los datos a </w:t>
      </w:r>
      <w:r>
        <w:rPr>
          <w:rFonts w:ascii="Consolas" w:hAnsi="Consolas"/>
          <w:b w:val="0"/>
          <w:i w:val="0"/>
          <w:color w:val="167C80"/>
          <w:sz w:val="18"/>
        </w:rPr>
        <w:t>POST /api/thesis</w:t>
      </w:r>
      <w:r>
        <w:rPr>
          <w:b w:val="0"/>
          <w:i w:val="0"/>
        </w:rPr>
        <w:t>. La ruta comprueba el token y el rol; el controlador crea el documento y responde con HTTP 201. Para una petición inválida, la API responde con el estado y el mensaje de error correspondiente.</w:t>
      </w:r>
    </w:p>
    <w:p>
      <w:pPr>
        <w:pStyle w:val="Heading2"/>
      </w:pPr>
      <w:r>
        <w:rPr>
          <w:b w:val="0"/>
          <w:i w:val="0"/>
        </w:rPr>
        <w:t>5. API REST y permisos</w:t>
      </w:r>
    </w:p>
    <w:p>
      <w:r>
        <w:rPr>
          <w:b w:val="0"/>
          <w:i w:val="0"/>
        </w:rPr>
        <w:t xml:space="preserve">Todas las rutas de tesis requieren autenticación. El middleware </w:t>
      </w:r>
      <w:r>
        <w:rPr>
          <w:rFonts w:ascii="Consolas" w:hAnsi="Consolas"/>
          <w:b w:val="0"/>
          <w:i w:val="0"/>
          <w:color w:val="167C80"/>
          <w:sz w:val="18"/>
        </w:rPr>
        <w:t>authorize</w:t>
      </w:r>
      <w:r>
        <w:rPr>
          <w:b w:val="0"/>
          <w:i w:val="0"/>
        </w:rPr>
        <w:t xml:space="preserve"> limita las operaciones según el rol.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Método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Ruta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Función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Acceso previsto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/api/auth/register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Registrar una cuenta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Público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/api/auth/login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Iniciar sesión y obtener JWT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Público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GET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/api/auth/me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Consultar el perfil autenticado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Autenticado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GET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/api/thesis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Listar tesis visibles para el usuario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Autenticado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/api/thesis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Crear una tesis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Estudiante o 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GET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/api/thesis/:id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Consultar el detalle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Propietario, tribunal asignado o 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/api/thesis/:id/versions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Añadir una versión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Estudiante propietario o 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/api/thesis/:id/reviews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Añadir una revisión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Tribunal asignado o 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PUT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/api/thesis/:id/assign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Asignar asesores y tribunal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PUT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/api/thesis/:id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Actualizar campos de la tesis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Estudiante propietario o administrador; calificación y estado solo para 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GET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/api/health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Comprobar disponibilidad de la API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Público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La API utiliza respuestas como 201 para creación, 400 para datos inválidos, 401 para falta de autenticación, 403 para permisos insuficientes y 404 para recursos inexistentes. El manejador central también traduce errores de validación de Mongoose.</w:t>
      </w:r>
    </w:p>
    <w:p>
      <w:pPr>
        <w:pStyle w:val="Heading2"/>
      </w:pPr>
      <w:r>
        <w:rPr>
          <w:b w:val="0"/>
          <w:i w:val="0"/>
        </w:rPr>
        <w:t>6. Modelo NoSQL y decisiones de persistencia</w:t>
      </w:r>
    </w:p>
    <w:p>
      <w:r>
        <w:rPr>
          <w:b w:val="0"/>
          <w:i w:val="0"/>
        </w:rPr>
        <w:t xml:space="preserve">La colección </w:t>
      </w:r>
      <w:r>
        <w:rPr>
          <w:rFonts w:ascii="Consolas" w:hAnsi="Consolas"/>
          <w:b w:val="0"/>
          <w:i w:val="0"/>
          <w:color w:val="167C80"/>
          <w:sz w:val="18"/>
        </w:rPr>
        <w:t>users</w:t>
      </w:r>
      <w:r>
        <w:rPr>
          <w:b w:val="0"/>
          <w:i w:val="0"/>
        </w:rPr>
        <w:t xml:space="preserve"> conserva por separado los datos de identidad y rol. El documento </w:t>
      </w:r>
      <w:r>
        <w:rPr>
          <w:rFonts w:ascii="Consolas" w:hAnsi="Consolas"/>
          <w:b w:val="0"/>
          <w:i w:val="0"/>
          <w:color w:val="167C80"/>
          <w:sz w:val="18"/>
        </w:rPr>
        <w:t>theses</w:t>
      </w:r>
      <w:r>
        <w:rPr>
          <w:b w:val="0"/>
          <w:i w:val="0"/>
        </w:rPr>
        <w:t xml:space="preserve"> referencia al estudiante, asesores, tribunal, autores de versiones y revisores mediante </w:t>
      </w:r>
      <w:r>
        <w:rPr>
          <w:rFonts w:ascii="Consolas" w:hAnsi="Consolas"/>
          <w:b w:val="0"/>
          <w:i w:val="0"/>
          <w:color w:val="167C80"/>
          <w:sz w:val="18"/>
        </w:rPr>
        <w:t>ObjectId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167C80"/>
          <w:sz w:val="18"/>
        </w:rPr>
        <w:t>ref: 'User'</w:t>
      </w:r>
      <w:r>
        <w:rPr>
          <w:b w:val="0"/>
          <w:i w:val="0"/>
        </w:rPr>
        <w:t xml:space="preserve">. Al consultar una tesis, </w:t>
      </w:r>
      <w:r>
        <w:rPr>
          <w:rFonts w:ascii="Consolas" w:hAnsi="Consolas"/>
          <w:b w:val="0"/>
          <w:i w:val="0"/>
          <w:color w:val="167C80"/>
          <w:sz w:val="18"/>
        </w:rPr>
        <w:t>populate</w:t>
      </w:r>
      <w:r>
        <w:rPr>
          <w:b w:val="0"/>
          <w:i w:val="0"/>
        </w:rPr>
        <w:t xml:space="preserve"> permite presentar los nombres y datos requeridos sin duplicar perfiles completos dentro de cada tesis.</w:t>
      </w:r>
    </w:p>
    <w:p>
      <w:r>
        <w:rPr>
          <w:b w:val="0"/>
          <w:i w:val="0"/>
        </w:rPr>
        <w:t>Las versiones y revisiones se modelan como subdocumentos de la tesis. Su relación directa con el ciclo de vida del trabajo hace práctico consultarlas junto con este, conservar su historial y actualizarlas como parte del mismo agregado. Los esquemas incluyen campos obligatorios, estados permitidos y límites de puntuación. También se define un índice de texto para buscar por título, resumen y palabras clave.</w:t>
      </w:r>
    </w:p>
    <w:p>
      <w:r>
        <w:rPr>
          <w:b w:val="0"/>
          <w:i w:val="0"/>
        </w:rPr>
        <w:t>Esta combinación evita tanto el embebido indiscriminado de usuarios como la fragmentación de eventos que normalmente se leen junto con la tesis.</w:t>
      </w:r>
    </w:p>
    <w:p>
      <w:pPr>
        <w:pStyle w:val="Heading2"/>
      </w:pPr>
      <w:r>
        <w:rPr>
          <w:b w:val="0"/>
          <w:i w:val="0"/>
        </w:rPr>
        <w:t>7. Autenticación y configuración segura</w:t>
      </w:r>
    </w:p>
    <w:p>
      <w:pPr>
        <w:pStyle w:val="ListNumber"/>
      </w:pPr>
      <w:r>
        <w:rPr>
          <w:b w:val="0"/>
          <w:i w:val="0"/>
        </w:rPr>
        <w:t>El usuario inicia sesión o se registra; el servidor compara la contraseña y firma un JWT con el identificador del usuario. El JWT está firmado, no cifrado.</w:t>
      </w:r>
    </w:p>
    <w:p>
      <w:pPr>
        <w:pStyle w:val="ListNumber"/>
      </w:pPr>
      <w:r>
        <w:rPr>
          <w:b w:val="0"/>
          <w:i w:val="0"/>
        </w:rPr>
        <w:t xml:space="preserve">El token contiene el identificador, no la contraseña. El vencimiento se configura con </w:t>
      </w:r>
      <w:r>
        <w:rPr>
          <w:rFonts w:ascii="Consolas" w:hAnsi="Consolas"/>
          <w:b w:val="0"/>
          <w:i w:val="0"/>
          <w:color w:val="167C80"/>
          <w:sz w:val="18"/>
        </w:rPr>
        <w:t>JWT_EXPIRES_IN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El frontend conserva el token en </w:t>
      </w:r>
      <w:r>
        <w:rPr>
          <w:rFonts w:ascii="Consolas" w:hAnsi="Consolas"/>
          <w:b w:val="0"/>
          <w:i w:val="0"/>
          <w:color w:val="167C80"/>
          <w:sz w:val="18"/>
        </w:rPr>
        <w:t>localStorage</w:t>
      </w:r>
      <w:r>
        <w:rPr>
          <w:b w:val="0"/>
          <w:i w:val="0"/>
        </w:rPr>
        <w:t xml:space="preserve"> y Axios lo envía como </w:t>
      </w:r>
      <w:r>
        <w:rPr>
          <w:rFonts w:ascii="Consolas" w:hAnsi="Consolas"/>
          <w:b w:val="0"/>
          <w:i w:val="0"/>
          <w:color w:val="167C80"/>
          <w:sz w:val="18"/>
        </w:rPr>
        <w:t>Authorization: Bearer &lt;token&gt;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rFonts w:ascii="Consolas" w:hAnsi="Consolas"/>
          <w:b w:val="0"/>
          <w:i w:val="0"/>
          <w:color w:val="167C80"/>
          <w:sz w:val="18"/>
        </w:rPr>
        <w:t>protect</w:t>
      </w:r>
      <w:r>
        <w:rPr>
          <w:b w:val="0"/>
          <w:i w:val="0"/>
        </w:rPr>
        <w:t xml:space="preserve"> verifica la firma y carga al usuario sin su contraseña; </w:t>
      </w:r>
      <w:r>
        <w:rPr>
          <w:rFonts w:ascii="Consolas" w:hAnsi="Consolas"/>
          <w:b w:val="0"/>
          <w:i w:val="0"/>
          <w:color w:val="167C80"/>
          <w:sz w:val="18"/>
        </w:rPr>
        <w:t>authorize</w:t>
      </w:r>
      <w:r>
        <w:rPr>
          <w:b w:val="0"/>
          <w:i w:val="0"/>
        </w:rPr>
        <w:t xml:space="preserve"> comprueba el rol cuando la ruta lo exige.</w:t>
      </w:r>
    </w:p>
    <w:p>
      <w:pPr>
        <w:pStyle w:val="ListNumber"/>
      </w:pPr>
      <w:r>
        <w:rPr>
          <w:b w:val="0"/>
          <w:i w:val="0"/>
        </w:rPr>
        <w:t xml:space="preserve">Las contraseñas se procesan con bcrypt y 12 rondas de sal. El campo </w:t>
      </w:r>
      <w:r>
        <w:rPr>
          <w:rFonts w:ascii="Consolas" w:hAnsi="Consolas"/>
          <w:b w:val="0"/>
          <w:i w:val="0"/>
          <w:color w:val="167C80"/>
          <w:sz w:val="18"/>
        </w:rPr>
        <w:t>password</w:t>
      </w:r>
      <w:r>
        <w:rPr>
          <w:b w:val="0"/>
          <w:i w:val="0"/>
        </w:rPr>
        <w:t xml:space="preserve"> no se selecciona por defecto en consultas Mongoose.</w:t>
      </w:r>
    </w:p>
    <w:p>
      <w:r>
        <w:rPr>
          <w:b w:val="0"/>
          <w:i w:val="0"/>
        </w:rPr>
        <w:t xml:space="preserve">El registro público crea cuentas de estudiante; enviar un campo </w:t>
      </w:r>
      <w:r>
        <w:rPr>
          <w:rFonts w:ascii="Consolas" w:hAnsi="Consolas"/>
          <w:b w:val="0"/>
          <w:i w:val="0"/>
          <w:color w:val="167C80"/>
          <w:sz w:val="18"/>
        </w:rPr>
        <w:t>role</w:t>
      </w:r>
      <w:r>
        <w:rPr>
          <w:b w:val="0"/>
          <w:i w:val="0"/>
        </w:rPr>
        <w:t xml:space="preserve"> en la solicitud no concede privilegios. Las cuentas de tribunal y administración deben prepararse por un proceso interno. Un miembro del tribunal solo consulta y revisa tesis que le fueron asignadas. En la actualización, el estudiante solo puede cambiar su propia tesis y no puede asignar estados ni nota final; esas dos acciones quedan para administración.</w:t>
      </w:r>
    </w:p>
    <w:p>
      <w:r>
        <w:rPr>
          <w:rFonts w:ascii="Consolas" w:hAnsi="Consolas"/>
          <w:b w:val="0"/>
          <w:i w:val="0"/>
          <w:color w:val="167C80"/>
          <w:sz w:val="18"/>
        </w:rPr>
        <w:t>MONGODB_URI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167C80"/>
          <w:sz w:val="18"/>
        </w:rPr>
        <w:t>JWT_SECRET</w:t>
      </w:r>
      <w:r>
        <w:rPr>
          <w:b w:val="0"/>
          <w:i w:val="0"/>
        </w:rPr>
        <w:t xml:space="preserve"> se configuran en </w:t>
      </w:r>
      <w:r>
        <w:rPr>
          <w:rFonts w:ascii="Consolas" w:hAnsi="Consolas"/>
          <w:b w:val="0"/>
          <w:i w:val="0"/>
          <w:color w:val="167C80"/>
          <w:sz w:val="18"/>
        </w:rPr>
        <w:t>backend/.env</w:t>
      </w:r>
      <w:r>
        <w:rPr>
          <w:b w:val="0"/>
          <w:i w:val="0"/>
        </w:rPr>
        <w:t xml:space="preserve">, que no debe publicarse. El repositorio contiene una plantilla </w:t>
      </w:r>
      <w:r>
        <w:rPr>
          <w:rFonts w:ascii="Consolas" w:hAnsi="Consolas"/>
          <w:b w:val="0"/>
          <w:i w:val="0"/>
          <w:color w:val="167C80"/>
          <w:sz w:val="18"/>
        </w:rPr>
        <w:t>.env.example</w:t>
      </w:r>
      <w:r>
        <w:rPr>
          <w:b w:val="0"/>
          <w:i w:val="0"/>
        </w:rPr>
        <w:t xml:space="preserve"> con valores de ejemplo; para una base alojada, se reemplazan localmente por la URI y el secreto correspondientes. Nunca se debe mostrar un secreto ni un JWT en las capturas.</w:t>
      </w:r>
    </w:p>
    <w:p>
      <w:pPr>
        <w:pStyle w:val="Heading2"/>
      </w:pPr>
      <w:r>
        <w:rPr>
          <w:b w:val="0"/>
          <w:i w:val="0"/>
        </w:rPr>
        <w:t>8. Instalación y ejecución en Windows</w:t>
      </w:r>
    </w:p>
    <w:p>
      <w:r>
        <w:rPr>
          <w:b w:val="0"/>
          <w:i w:val="0"/>
        </w:rPr>
        <w:t xml:space="preserve">Se requiere Node.js 18 o superior, npm y una instancia accesible de MongoDB local o Atlas. El proyecto incluye archivos </w:t>
      </w:r>
      <w:r>
        <w:rPr>
          <w:rFonts w:ascii="Consolas" w:hAnsi="Consolas"/>
          <w:b w:val="0"/>
          <w:i w:val="0"/>
          <w:color w:val="167C80"/>
          <w:sz w:val="18"/>
        </w:rPr>
        <w:t>package-lock.json</w:t>
      </w:r>
      <w:r>
        <w:rPr>
          <w:b w:val="0"/>
          <w:i w:val="0"/>
        </w:rPr>
        <w:t xml:space="preserve">; por eso </w:t>
      </w:r>
      <w:r>
        <w:rPr>
          <w:rFonts w:ascii="Consolas" w:hAnsi="Consolas"/>
          <w:b w:val="0"/>
          <w:i w:val="0"/>
          <w:color w:val="167C80"/>
          <w:sz w:val="18"/>
        </w:rPr>
        <w:t>npm install</w:t>
      </w:r>
      <w:r>
        <w:rPr>
          <w:b w:val="0"/>
          <w:i w:val="0"/>
        </w:rPr>
        <w:t xml:space="preserve"> puede reconstruir las dependencias. No es necesario entregar ni copiar </w:t>
      </w:r>
      <w:r>
        <w:rPr>
          <w:rFonts w:ascii="Consolas" w:hAnsi="Consolas"/>
          <w:b w:val="0"/>
          <w:i w:val="0"/>
          <w:color w:val="167C80"/>
          <w:sz w:val="18"/>
        </w:rPr>
        <w:t>node_modules</w:t>
      </w:r>
      <w:r>
        <w:rPr>
          <w:b w:val="0"/>
          <w:i w:val="0"/>
        </w:rPr>
        <w:t>.</w:t>
      </w:r>
    </w:p>
    <w:p>
      <w:r>
        <w:rPr>
          <w:b/>
          <w:i w:val="0"/>
        </w:rPr>
        <w:t>Terminal 1 — API</w:t>
      </w:r>
    </w:p>
    <w:p>
      <w:pPr>
        <w:spacing w:before="60" w:after="160"/>
        <w:ind w:left="173" w:right="173"/>
        <w:shd w:fill="F3F5F7"/>
      </w:pPr>
      <w:r>
        <w:rPr>
          <w:rFonts w:ascii="Consolas" w:hAnsi="Consolas"/>
          <w:sz w:val="17"/>
        </w:rPr>
        <w:t>cd Caso1\codigo\backend</w:t>
        <w:br/>
        <w:t>Copy-Item .env.example .env</w:t>
        <w:br/>
        <w:t>notepad .env</w:t>
        <w:br/>
        <w:t>npm install</w:t>
        <w:br/>
        <w:t>npm run dev</w:t>
      </w:r>
    </w:p>
    <w:p>
      <w:r>
        <w:rPr>
          <w:b w:val="0"/>
          <w:i w:val="0"/>
        </w:rPr>
        <w:t xml:space="preserve">En </w:t>
      </w:r>
      <w:r>
        <w:rPr>
          <w:rFonts w:ascii="Consolas" w:hAnsi="Consolas"/>
          <w:b w:val="0"/>
          <w:i w:val="0"/>
          <w:color w:val="167C80"/>
          <w:sz w:val="18"/>
        </w:rPr>
        <w:t>.env</w:t>
      </w:r>
      <w:r>
        <w:rPr>
          <w:b w:val="0"/>
          <w:i w:val="0"/>
        </w:rPr>
        <w:t xml:space="preserve">, configurar </w:t>
      </w:r>
      <w:r>
        <w:rPr>
          <w:rFonts w:ascii="Consolas" w:hAnsi="Consolas"/>
          <w:b w:val="0"/>
          <w:i w:val="0"/>
          <w:color w:val="167C80"/>
          <w:sz w:val="18"/>
        </w:rPr>
        <w:t>MONGODB_URI</w:t>
      </w:r>
      <w:r>
        <w:rPr>
          <w:b w:val="0"/>
          <w:i w:val="0"/>
        </w:rPr>
        <w:t xml:space="preserve">, un </w:t>
      </w:r>
      <w:r>
        <w:rPr>
          <w:rFonts w:ascii="Consolas" w:hAnsi="Consolas"/>
          <w:b w:val="0"/>
          <w:i w:val="0"/>
          <w:color w:val="167C80"/>
          <w:sz w:val="18"/>
        </w:rPr>
        <w:t>JWT_SECRET</w:t>
      </w:r>
      <w:r>
        <w:rPr>
          <w:b w:val="0"/>
          <w:i w:val="0"/>
        </w:rPr>
        <w:t xml:space="preserve"> propio y </w:t>
      </w:r>
      <w:r>
        <w:rPr>
          <w:rFonts w:ascii="Consolas" w:hAnsi="Consolas"/>
          <w:b w:val="0"/>
          <w:i w:val="0"/>
          <w:color w:val="167C80"/>
          <w:sz w:val="18"/>
        </w:rPr>
        <w:t>PORT=5000</w:t>
      </w:r>
      <w:r>
        <w:rPr>
          <w:b w:val="0"/>
          <w:i w:val="0"/>
        </w:rPr>
        <w:t xml:space="preserve">. Si ya existe un </w:t>
      </w:r>
      <w:r>
        <w:rPr>
          <w:rFonts w:ascii="Consolas" w:hAnsi="Consolas"/>
          <w:b w:val="0"/>
          <w:i w:val="0"/>
          <w:color w:val="167C80"/>
          <w:sz w:val="18"/>
        </w:rPr>
        <w:t>.env</w:t>
      </w:r>
      <w:r>
        <w:rPr>
          <w:b w:val="0"/>
          <w:i w:val="0"/>
        </w:rPr>
        <w:t xml:space="preserve">, no lo sobrescribas: revisa que tenga esos valores. La API queda en </w:t>
      </w:r>
      <w:r>
        <w:rPr>
          <w:rFonts w:ascii="Consolas" w:hAnsi="Consolas"/>
          <w:b w:val="0"/>
          <w:i w:val="0"/>
          <w:color w:val="167C80"/>
          <w:sz w:val="18"/>
        </w:rPr>
        <w:t>http://localhost:5000</w:t>
      </w:r>
      <w:r>
        <w:rPr>
          <w:b w:val="0"/>
          <w:i w:val="0"/>
        </w:rPr>
        <w:t xml:space="preserve">; su comprobación de estado está en </w:t>
      </w:r>
      <w:r>
        <w:rPr>
          <w:rFonts w:ascii="Consolas" w:hAnsi="Consolas"/>
          <w:b w:val="0"/>
          <w:i w:val="0"/>
          <w:color w:val="167C80"/>
          <w:sz w:val="18"/>
        </w:rPr>
        <w:t>http://localhost:5000/api/health</w:t>
      </w:r>
      <w:r>
        <w:rPr>
          <w:b w:val="0"/>
          <w:i w:val="0"/>
        </w:rPr>
        <w:t>.</w:t>
      </w:r>
    </w:p>
    <w:p>
      <w:r>
        <w:rPr>
          <w:b/>
          <w:i w:val="0"/>
        </w:rPr>
        <w:t>Terminal 2 — interfaz</w:t>
      </w:r>
    </w:p>
    <w:p>
      <w:pPr>
        <w:spacing w:before="60" w:after="160"/>
        <w:ind w:left="173" w:right="173"/>
        <w:shd w:fill="F3F5F7"/>
      </w:pPr>
      <w:r>
        <w:rPr>
          <w:rFonts w:ascii="Consolas" w:hAnsi="Consolas"/>
          <w:sz w:val="17"/>
        </w:rPr>
        <w:t>cd Caso1\codigo\frontend</w:t>
        <w:br/>
        <w:t>npm install</w:t>
        <w:br/>
        <w:t>npm run dev</w:t>
      </w:r>
    </w:p>
    <w:p>
      <w:r>
        <w:rPr>
          <w:b w:val="0"/>
          <w:i w:val="0"/>
        </w:rPr>
        <w:t xml:space="preserve">Abrir </w:t>
      </w:r>
      <w:r>
        <w:rPr>
          <w:rFonts w:ascii="Consolas" w:hAnsi="Consolas"/>
          <w:b w:val="0"/>
          <w:i w:val="0"/>
          <w:color w:val="167C80"/>
          <w:sz w:val="18"/>
        </w:rPr>
        <w:t>http://localhost:3000</w:t>
      </w:r>
      <w:r>
        <w:rPr>
          <w:b w:val="0"/>
          <w:i w:val="0"/>
        </w:rPr>
        <w:t xml:space="preserve">. Vite redirige las solicitudes </w:t>
      </w:r>
      <w:r>
        <w:rPr>
          <w:rFonts w:ascii="Consolas" w:hAnsi="Consolas"/>
          <w:b w:val="0"/>
          <w:i w:val="0"/>
          <w:color w:val="167C80"/>
          <w:sz w:val="18"/>
        </w:rPr>
        <w:t>/api</w:t>
      </w:r>
      <w:r>
        <w:rPr>
          <w:b w:val="0"/>
          <w:i w:val="0"/>
        </w:rPr>
        <w:t xml:space="preserve"> hacia la API del puerto 5000.</w:t>
      </w:r>
    </w:p>
    <w:p>
      <w:pPr>
        <w:pStyle w:val="Heading2"/>
      </w:pPr>
      <w:r>
        <w:rPr>
          <w:b w:val="0"/>
          <w:i w:val="0"/>
        </w:rPr>
        <w:t>9. Guion de demostración y evidencias</w:t>
      </w:r>
    </w:p>
    <w:p>
      <w:r>
        <w:rPr>
          <w:b w:val="0"/>
          <w:i w:val="0"/>
        </w:rPr>
        <w:t>Usar cuentas y datos de prueba, nunca credenciales reales. Para demostrar los distintos roles, preparar cuentas de estudiante, tribunal y administrador. Cada evidencia muestra una etapa concreta del recorrido; las capturas no incluyen contraseñas ni tokens.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Archivo sugerido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Qué debe mostrar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evidencias/01-login.png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Acceso al portal académico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evidencias/02-registro.png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Formulario de registro con roles de demostración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evidencias/03-panel-estudiante.png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Panel del estudiante y tesis registradas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evidencias/04-nueva-tesis.png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Formulario de creación de un trabajo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evidencias/05-detalle-tesis.png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Resumen, estado y datos de una tesis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evidencias/06-nueva-version.png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Versión agregada y campos de observación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evidencias/07-revision-tribunal.png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Revisión, comentarios y decisión del tribunal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evidencias/08-api-health.png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 xml:space="preserve">Respuesta de 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/api/health</w:t>
            </w:r>
            <w:r>
              <w:rPr>
                <w:b w:val="0"/>
                <w:i w:val="0"/>
                <w:sz w:val="17"/>
              </w:rPr>
              <w:t xml:space="preserve"> en la API en ejecución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Recorrido recomendado:</w:t>
      </w:r>
      <w:r>
        <w:rPr>
          <w:b w:val="0"/>
          <w:i w:val="0"/>
        </w:rPr>
        <w:t xml:space="preserve"> iniciar sesión como estudiante, crear una tesis, registrar una versión, consultar el detalle, entrar con una cuenta de tribunal y guardar una revisión. Finalmente, mostrar que la API protege las operaciones que requieren otro rol. No afirmar que se probó un paso si no se ejecutó.</w:t>
      </w:r>
    </w:p>
    <w:p>
      <w:pPr>
        <w:pStyle w:val="Heading3"/>
      </w:pPr>
      <w:r>
        <w:rPr>
          <w:b w:val="0"/>
          <w:i w:val="0"/>
        </w:rPr>
        <w:t>Capturas de ejecución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01. Acceso a EducaVault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02. Registro en EducaVault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anel-estudian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03. Panel del estudiante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ueva-te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04. Creación de una tesis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talle-te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05. Detalle de tesis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5754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nueva-ver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75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06. Historial y nueva versión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258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vision-tribu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07. Revisión del tribunal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pi-heal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08. Comprobación de la API</w:t>
      </w:r>
    </w:p>
    <w:p>
      <w:pPr>
        <w:pStyle w:val="Heading2"/>
      </w:pPr>
      <w:r>
        <w:rPr>
          <w:b w:val="0"/>
          <w:i w:val="0"/>
        </w:rPr>
        <w:t>10. Correspondencia con la rúbrica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Criterio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Evidencia que se explica o debe demostrarse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Arquitectura backend y API REST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Separación entre rutas, controladores, modelos y middleware; métodos y códigos HTTP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Persistencia NoSQL y Mongoose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 xml:space="preserve">Referencias con 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ObjectId</w:t>
            </w:r>
            <w:r>
              <w:rPr>
                <w:b w:val="0"/>
                <w:i w:val="0"/>
                <w:sz w:val="17"/>
              </w:rPr>
              <w:t>/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populate</w:t>
            </w:r>
            <w:r>
              <w:rPr>
                <w:b w:val="0"/>
                <w:i w:val="0"/>
                <w:sz w:val="17"/>
              </w:rPr>
              <w:t>, subdocumentos, validaciones e índice de texto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Seguridad JWT y variables de entorno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Firma y verificación del token, roles, bcrypt y configuración fuera del código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Frontend React SPA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 xml:space="preserve">Formularios, rutas protegidas, hooks 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useState</w:t>
            </w:r>
            <w:r>
              <w:rPr>
                <w:b w:val="0"/>
                <w:i w:val="0"/>
                <w:sz w:val="17"/>
              </w:rPr>
              <w:t>/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useEffect</w:t>
            </w:r>
            <w:r>
              <w:rPr>
                <w:b w:val="0"/>
                <w:i w:val="0"/>
                <w:sz w:val="17"/>
              </w:rPr>
              <w:t xml:space="preserve"> y consumo de la API con Axios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Despliegue, repositorio y documentación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 xml:space="preserve">Pasos de instalación reproducibles, 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.env.example</w:t>
            </w:r>
            <w:r>
              <w:rPr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package-lock.json</w:t>
            </w:r>
            <w:r>
              <w:rPr>
                <w:b w:val="0"/>
                <w:i w:val="0"/>
                <w:sz w:val="17"/>
              </w:rPr>
              <w:t xml:space="preserve"> y ausencia de dependencias vendorizadas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Defensa y autoría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Explicar el recorrido de una petición, por qué se combinan referencias y subdocumentos y qué contiene el JWT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i w:val="0"/>
        </w:rPr>
        <w:t>11. Guion oral sugerido</w:t>
      </w:r>
    </w:p>
    <w:p>
      <w:pPr>
        <w:pStyle w:val="Quote"/>
        <w:ind w:left="360"/>
      </w:pPr>
      <w:r>
        <w:rPr>
          <w:b w:val="0"/>
          <w:i w:val="0"/>
        </w:rPr>
        <w:t>Buenos días. Soy Eva Lizeth Chino Quispe y voy a presentar EducaVault, una aplicación web para organizar el seguimiento de tesis y trabajos de grado. La idea principal es reunir en un mismo lugar el estado del trabajo, sus versiones y las observaciones de quienes participan en la revisión.</w:t>
      </w:r>
    </w:p>
    <w:p>
      <w:r>
        <w:rPr>
          <w:b w:val="0"/>
          <w:i w:val="0"/>
        </w:rPr>
        <w:t>&gt;</w:t>
      </w:r>
    </w:p>
    <w:p>
      <w:pPr>
        <w:pStyle w:val="Quote"/>
        <w:ind w:left="360"/>
      </w:pPr>
      <w:r>
        <w:rPr>
          <w:b w:val="0"/>
          <w:i w:val="0"/>
        </w:rPr>
        <w:t>Separé la aplicación en una interfaz React, una API REST con Express y una base MongoDB. Los perfiles de usuario se relacionan con la tesis mediante referencias, mientras que las versiones y las revisiones se guardan dentro del documento de tesis porque se consultan como parte de su historial. Para la demostración voy a iniciar como estudiante, crear o abrir una tesis y mostrar su nueva versión; después explicaré cómo el tribunal asignado registra una revisión. Las contraseñas se guardan como hash y la API verifica el JWT y los permisos. En este prototipo se guardan los datos del archivo, no su contenido binario.</w:t>
      </w:r>
    </w:p>
    <w:p>
      <w:pPr>
        <w:pStyle w:val="Heading2"/>
      </w:pPr>
      <w:r>
        <w:rPr>
          <w:b w:val="0"/>
          <w:i w:val="0"/>
        </w:rPr>
        <w:t>12. Cierre</w:t>
      </w:r>
    </w:p>
    <w:p>
      <w:r>
        <w:rPr>
          <w:b w:val="0"/>
          <w:i w:val="0"/>
        </w:rPr>
        <w:t>EducaVault propone un flujo digital sencillo para dar seguimiento a trabajos de grado y conservar su historial. La separación por capas, el modelado mixto de MongoDB y la autenticación por roles responden a las necesidades principales del sistema. En la exposición, cada decisión se puede relacionar con una pantalla y con la parte del código que la implementa.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P?gina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167C80"/>
        <w:sz w:val="16"/>
      </w:rPr>
      <w:t>INFORME DE PRESENTACI?N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2D374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67C8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