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ocr-정확도-목표-및-측정-기준"/>
    <w:p>
      <w:pPr>
        <w:pStyle w:val="Heading1"/>
      </w:pPr>
      <w:r>
        <w:t xml:space="preserve">OCR 정확도 목표 및 측정 기준</w:t>
      </w:r>
    </w:p>
    <w:p>
      <w:pPr>
        <w:pStyle w:val="BlockText"/>
      </w:pPr>
      <w:r>
        <w:rPr>
          <w:b/>
          <w:bCs/>
        </w:rPr>
        <w:t xml:space="preserve">정본 위치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docs/accuracy-targets.md</w:t>
      </w:r>
      <w:r>
        <w:br/>
      </w:r>
      <w:r>
        <w:rPr>
          <w:b/>
          <w:bCs/>
        </w:rPr>
        <w:t xml:space="preserve">최초 작성</w:t>
      </w:r>
      <w:r>
        <w:t xml:space="preserve">: 2026-04-22</w:t>
      </w:r>
      <w:r>
        <w:br/>
      </w:r>
      <w:r>
        <w:rPr>
          <w:b/>
          <w:bCs/>
        </w:rPr>
        <w:t xml:space="preserve">기준 커밋</w:t>
      </w:r>
      <w:r>
        <w:t xml:space="preserve">:</w:t>
      </w:r>
      <w:r>
        <w:t xml:space="preserve"> </w:t>
      </w:r>
      <w:r>
        <w:rPr>
          <w:rStyle w:val="VerbatimChar"/>
        </w:rPr>
        <w:t xml:space="preserve">11fee76</w:t>
      </w:r>
      <w:r>
        <w:t xml:space="preserve"> </w:t>
      </w:r>
      <w:r>
        <w:t xml:space="preserve">(b2-baseline tag)</w:t>
      </w:r>
      <w:r>
        <w:br/>
      </w:r>
      <w:r>
        <w:rPr>
          <w:b/>
          <w:bCs/>
        </w:rPr>
        <w:t xml:space="preserve">관련 스펙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docs/superpowers/specs/2026-04-18-ocr-solution-design.md</w:t>
      </w:r>
      <w:r>
        <w:t xml:space="preserve"> </w:t>
      </w:r>
      <w:r>
        <w:t xml:space="preserve">§3.3</w:t>
      </w:r>
    </w:p>
    <w:p>
      <w:r>
        <w:pict>
          <v:rect style="width:0;height:1.5pt" o:hralign="center" o:hrstd="t" o:hr="t"/>
        </w:pict>
      </w:r>
    </w:p>
    <w:bookmarkStart w:id="10" w:name="Xe15ac646b19d5094b808c4b6dbd2fe8eeee3718"/>
    <w:p>
      <w:pPr>
        <w:pStyle w:val="Heading2"/>
      </w:pPr>
      <w:r>
        <w:t xml:space="preserve">1. 목적</w:t>
      </w:r>
    </w:p>
    <w:p>
      <w:pPr>
        <w:pStyle w:val="FirstParagraph"/>
      </w:pPr>
      <w:r>
        <w:t xml:space="preserve">OCR 파이프라인이 상업용 수준(CLOVA OCR, ABBYY FineReader 동등)에 도달했는지를</w:t>
      </w:r>
      <w:r>
        <w:t xml:space="preserve"> </w:t>
      </w:r>
      <w:r>
        <w:rPr>
          <w:b/>
          <w:bCs/>
        </w:rPr>
        <w:t xml:space="preserve">재현 가능하고 자동화된 방식</w:t>
      </w:r>
      <w:r>
        <w:t xml:space="preserve">으로 측정하기 위한 정확도 harness 운영 기준을 정의합니다.</w:t>
      </w:r>
    </w:p>
    <w:bookmarkStart w:id="9" w:name="측정이-필수인-이유"/>
    <w:p>
      <w:pPr>
        <w:pStyle w:val="Heading3"/>
      </w:pPr>
      <w:r>
        <w:t xml:space="preserve">측정이 필수인 이유</w:t>
      </w:r>
    </w:p>
    <w:p>
      <w:pPr>
        <w:pStyle w:val="Compact"/>
        <w:numPr>
          <w:ilvl w:val="0"/>
          <w:numId w:val="1001"/>
        </w:numPr>
      </w:pPr>
      <w:r>
        <w:t xml:space="preserve">엔진 교체(PaddleOCR → EasyOCR → PP-OCRv4 등) 시 회귀 여부를 즉시 판단</w:t>
      </w:r>
    </w:p>
    <w:p>
      <w:pPr>
        <w:pStyle w:val="Compact"/>
        <w:numPr>
          <w:ilvl w:val="0"/>
          <w:numId w:val="1001"/>
        </w:numPr>
      </w:pPr>
      <w:r>
        <w:t xml:space="preserve">도메인 파인튜닝 효과의 정량적 검증</w:t>
      </w:r>
    </w:p>
    <w:p>
      <w:pPr>
        <w:pStyle w:val="Compact"/>
        <w:numPr>
          <w:ilvl w:val="0"/>
          <w:numId w:val="1001"/>
        </w:numPr>
      </w:pPr>
      <w:r>
        <w:t xml:space="preserve">CI gate로 활용 —</w:t>
      </w:r>
      <w:r>
        <w:t xml:space="preserve"> </w:t>
      </w:r>
      <w:r>
        <w:rPr>
          <w:rStyle w:val="VerbatimChar"/>
        </w:rPr>
        <w:t xml:space="preserve">char_accuracy &lt; 0.95</w:t>
      </w:r>
      <w:r>
        <w:t xml:space="preserve"> </w:t>
      </w:r>
      <w:r>
        <w:t xml:space="preserve">이면 PR 병합 차단</w:t>
      </w:r>
    </w:p>
    <w:p>
      <w:pPr>
        <w:pStyle w:val="Compact"/>
        <w:numPr>
          <w:ilvl w:val="0"/>
          <w:numId w:val="1001"/>
        </w:numPr>
      </w:pPr>
      <w:r>
        <w:t xml:space="preserve">상업용 SaaS 대비 정확도 격차 추적 및 의사결정 근거 제공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4" w:name="X8ee9e91be395f4082be1d5278cce62041c5b95d"/>
    <w:p>
      <w:pPr>
        <w:pStyle w:val="Heading2"/>
      </w:pPr>
      <w:r>
        <w:t xml:space="preserve">2. 지표 정의</w:t>
      </w:r>
    </w:p>
    <w:bookmarkStart w:id="11" w:name="Xda1b250b3b269dd34d1386494d2ad6dc2e4b372"/>
    <w:p>
      <w:pPr>
        <w:pStyle w:val="Heading3"/>
      </w:pPr>
      <w:r>
        <w:t xml:space="preserve">2.1 핵심 지표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지표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  <w:tc>
          <w:tcPr/>
          <w:p>
            <w:pPr>
              <w:pStyle w:val="Compact"/>
            </w:pPr>
            <w:r>
              <w:t xml:space="preserve">계산식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t xml:space="preserve">문자 단위 정확도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1 - (Σ edit_distance) / (Σ char_count)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exact_match_rate</w:t>
            </w:r>
          </w:p>
        </w:tc>
        <w:tc>
          <w:tcPr/>
          <w:p>
            <w:pPr>
              <w:pStyle w:val="Compact"/>
            </w:pPr>
            <w:r>
              <w:t xml:space="preserve">필드 단위 완전일치 비율 (엄격 지표)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exact_matched / total_fields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field_recall</w:t>
            </w:r>
          </w:p>
        </w:tc>
        <w:tc>
          <w:tcPr/>
          <w:p>
            <w:pPr>
              <w:pStyle w:val="Compact"/>
            </w:pPr>
            <w:r>
              <w:t xml:space="preserve">부분일치라도 탐지 성공한 필드 비율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within_tolerance / total_fields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avg_edit_distance</w:t>
            </w:r>
          </w:p>
        </w:tc>
        <w:tc>
          <w:tcPr/>
          <w:p>
            <w:pPr>
              <w:pStyle w:val="Compact"/>
            </w:pPr>
            <w:r>
              <w:t xml:space="preserve">필드당 평균 편집거리 (Levenshtein)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Σ edit_distance / total_fields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low_conf_rate</w:t>
            </w:r>
          </w:p>
        </w:tc>
        <w:tc>
          <w:tcPr/>
          <w:p>
            <w:pPr>
              <w:pStyle w:val="Compact"/>
            </w:pPr>
            <w:r>
              <w:t xml:space="preserve">낮은 신뢰도 바운딩박스 비율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low_conf_count / total_bbox</w:t>
            </w:r>
          </w:p>
        </w:tc>
      </w:tr>
    </w:tbl>
    <w:bookmarkEnd w:id="11"/>
    <w:bookmarkStart w:id="12" w:name="X471dd7d4a39777f1dd655abb0f8757bce9d65cd"/>
    <w:p>
      <w:pPr>
        <w:pStyle w:val="Heading3"/>
      </w:pPr>
      <w:r>
        <w:t xml:space="preserve">2.2 tolerance 기준</w:t>
      </w:r>
    </w:p>
    <w:p>
      <w:pPr>
        <w:pStyle w:val="FirstParagraph"/>
      </w:pPr>
      <w:r>
        <w:rPr>
          <w:rStyle w:val="VerbatimChar"/>
        </w:rPr>
        <w:t xml:space="preserve">is_within_tolerance</w:t>
      </w:r>
      <w:r>
        <w:t xml:space="preserve">: 편집거리가</w:t>
      </w:r>
      <w:r>
        <w:t xml:space="preserve"> </w:t>
      </w:r>
      <w:r>
        <w:rPr>
          <w:rStyle w:val="VerbatimChar"/>
        </w:rPr>
        <w:t xml:space="preserve">ceil(char_count × 0.1)</w:t>
      </w:r>
      <w:r>
        <w:t xml:space="preserve"> </w:t>
      </w:r>
      <w:r>
        <w:t xml:space="preserve">이하인 경우 허용 (10% 오차 이내)</w:t>
      </w:r>
    </w:p>
    <w:bookmarkEnd w:id="12"/>
    <w:bookmarkStart w:id="13" w:name="X1f68705c1da1f1ac4f8e5a950588084fb2a94bf"/>
    <w:p>
      <w:pPr>
        <w:pStyle w:val="Heading3"/>
      </w:pPr>
      <w:r>
        <w:t xml:space="preserve">2.3 상업용 엔진 비교 공식</w:t>
      </w:r>
    </w:p>
    <w:p>
      <w:pPr>
        <w:pStyle w:val="SourceCode"/>
      </w:pPr>
      <w:r>
        <w:rPr>
          <w:rStyle w:val="VerbatimChar"/>
        </w:rPr>
        <w:t xml:space="preserve">gap_to_commercial = commercial_char_accuracy - ours_char_accuracy</w:t>
      </w:r>
      <w:r>
        <w:br/>
      </w:r>
      <w:r>
        <w:rPr>
          <w:rStyle w:val="VerbatimChar"/>
        </w:rPr>
        <w:t xml:space="preserve">CLOVA OCR 기준:    gap_to_commercial = 0.995 - char_accuracy</w:t>
      </w:r>
      <w:r>
        <w:br/>
      </w:r>
      <w:r>
        <w:rPr>
          <w:rStyle w:val="VerbatimChar"/>
        </w:rPr>
        <w:t xml:space="preserve">ABBYY FineReader:  gap_to_commercial = 0.998 - char_accuracy</w:t>
      </w:r>
    </w:p>
    <w:p>
      <w:pPr>
        <w:pStyle w:val="FirstParagraph"/>
      </w:pPr>
      <w:r>
        <w:t xml:space="preserve">상업용 동등 달성 조건:</w:t>
      </w:r>
      <w:r>
        <w:t xml:space="preserve"> </w:t>
      </w:r>
      <w:r>
        <w:rPr>
          <w:rStyle w:val="VerbatimChar"/>
        </w:rPr>
        <w:t xml:space="preserve">char_accuracy ≥ 0.995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exact_match_rate ≥ 0.98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X61bee2f0f288b4d0cddaa24c471a369fae81666"/>
    <w:p>
      <w:pPr>
        <w:pStyle w:val="Heading2"/>
      </w:pPr>
      <w:r>
        <w:t xml:space="preserve">3. Phase별 목표</w:t>
      </w:r>
    </w:p>
    <w:bookmarkStart w:id="15" w:name="X0104f71cf764617fa8a10bafa0fe2bcca8f855a"/>
    <w:p>
      <w:pPr>
        <w:pStyle w:val="Heading3"/>
      </w:pPr>
      <w:r>
        <w:t xml:space="preserve">3.1 목표 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엔진/설정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char_accuracy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exact_match_rate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field_recall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현재 (b2-baseline)</w:t>
            </w:r>
          </w:p>
        </w:tc>
        <w:tc>
          <w:tcPr/>
          <w:p>
            <w:pPr>
              <w:pStyle w:val="Compact"/>
            </w:pPr>
            <w:r>
              <w:t xml:space="preserve">EasyOCR 1.7.1 ko+en, CPU, OrbStack amd64 emulation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78.8%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100.0%</w:t>
            </w:r>
          </w:p>
        </w:tc>
        <w:tc>
          <w:tcPr/>
          <w:p>
            <w:pPr>
              <w:pStyle w:val="Compact"/>
            </w:pPr>
            <w:r>
              <w:t xml:space="preserve">10개 샘플, 66 fields, 525 chars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MVP</w:t>
            </w:r>
          </w:p>
        </w:tc>
        <w:tc>
          <w:tcPr/>
          <w:p>
            <w:pPr>
              <w:pStyle w:val="Compact"/>
            </w:pPr>
            <w:r>
              <w:t xml:space="preserve">PaddleOCR PP-OCRv4 복원, Triton GPU, Linux-native</w:t>
            </w:r>
          </w:p>
        </w:tc>
        <w:tc>
          <w:tcPr/>
          <w:p>
            <w:pPr>
              <w:pStyle w:val="Compact"/>
            </w:pPr>
            <w:r>
              <w:t xml:space="preserve">≥97%</w:t>
            </w:r>
          </w:p>
        </w:tc>
        <w:tc>
          <w:tcPr/>
          <w:p>
            <w:pPr>
              <w:pStyle w:val="Compact"/>
            </w:pPr>
            <w:r>
              <w:t xml:space="preserve">≥85%</w:t>
            </w:r>
          </w:p>
        </w:tc>
        <w:tc>
          <w:tcPr/>
          <w:p>
            <w:pPr>
              <w:pStyle w:val="Compact"/>
            </w:pPr>
            <w:r>
              <w:t xml:space="preserve">≥90%</w:t>
            </w:r>
          </w:p>
        </w:tc>
        <w:tc>
          <w:tcPr/>
          <w:p>
            <w:pPr>
              <w:pStyle w:val="Compact"/>
            </w:pPr>
            <w:r>
              <w:t xml:space="preserve">스펙 §3.3 기반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1 파인튜닝</w:t>
            </w:r>
          </w:p>
        </w:tc>
        <w:tc>
          <w:tcPr/>
          <w:p>
            <w:pPr>
              <w:pStyle w:val="Compact"/>
            </w:pPr>
            <w:r>
              <w:t xml:space="preserve">+ 도메인 1만 장 재학습 (Donut, LiLT)</w:t>
            </w:r>
          </w:p>
        </w:tc>
        <w:tc>
          <w:tcPr/>
          <w:p>
            <w:pPr>
              <w:pStyle w:val="Compact"/>
            </w:pPr>
            <w:r>
              <w:t xml:space="preserve">≥99%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≥95%</w:t>
            </w:r>
          </w:p>
        </w:tc>
        <w:tc>
          <w:tcPr/>
          <w:p>
            <w:pPr>
              <w:pStyle w:val="Compact"/>
            </w:pPr>
            <w:r>
              <w:t xml:space="preserve">정형 문서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상업용 동등</w:t>
            </w:r>
          </w:p>
        </w:tc>
        <w:tc>
          <w:tcPr/>
          <w:p>
            <w:pPr>
              <w:pStyle w:val="Compact"/>
            </w:pPr>
            <w:r>
              <w:t xml:space="preserve">Phase 1 후반</w:t>
            </w:r>
          </w:p>
        </w:tc>
        <w:tc>
          <w:tcPr/>
          <w:p>
            <w:pPr>
              <w:pStyle w:val="Compact"/>
            </w:pPr>
            <w:r>
              <w:t xml:space="preserve">≥99.5%</w:t>
            </w:r>
          </w:p>
        </w:tc>
        <w:tc>
          <w:tcPr/>
          <w:p>
            <w:pPr>
              <w:pStyle w:val="Compact"/>
            </w:pPr>
            <w:r>
              <w:t xml:space="preserve">≥98%</w:t>
            </w:r>
          </w:p>
        </w:tc>
        <w:tc>
          <w:tcPr/>
          <w:p>
            <w:pPr>
              <w:pStyle w:val="Compact"/>
            </w:pPr>
            <w:r>
              <w:t xml:space="preserve">≥98%</w:t>
            </w:r>
          </w:p>
        </w:tc>
        <w:tc>
          <w:tcPr/>
          <w:p>
            <w:pPr>
              <w:pStyle w:val="Compact"/>
            </w:pPr>
            <w:r>
              <w:t xml:space="preserve">정형; 반정형은 -2%p</w:t>
            </w:r>
          </w:p>
        </w:tc>
      </w:tr>
    </w:tbl>
    <w:bookmarkEnd w:id="15"/>
    <w:bookmarkStart w:id="16" w:name="Xf660c7db8af7f491d4dea32bfda62846638e22e"/>
    <w:p>
      <w:pPr>
        <w:pStyle w:val="Heading3"/>
      </w:pPr>
      <w:r>
        <w:t xml:space="preserve">3.2 샘플 구성 (b2-baseline 기준)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카테고리</w:t>
            </w:r>
          </w:p>
        </w:tc>
        <w:tc>
          <w:tcPr/>
          <w:p>
            <w:pPr>
              <w:pStyle w:val="Compact"/>
            </w:pPr>
            <w:r>
              <w:t xml:space="preserve">샘플 수</w:t>
            </w:r>
          </w:p>
        </w:tc>
        <w:tc>
          <w:tcPr/>
          <w:p>
            <w:pPr>
              <w:pStyle w:val="Compact"/>
            </w:pPr>
            <w:r>
              <w:t xml:space="preserve">총 필드 수</w:t>
            </w:r>
          </w:p>
        </w:tc>
        <w:tc>
          <w:tcPr/>
          <w:p>
            <w:pPr>
              <w:pStyle w:val="Compact"/>
            </w:pPr>
            <w:r>
              <w:t xml:space="preserve">exact_matched</w:t>
            </w:r>
          </w:p>
        </w:tc>
        <w:tc>
          <w:tcPr/>
          <w:p>
            <w:pPr>
              <w:pStyle w:val="Compact"/>
            </w:pPr>
            <w:r>
              <w:t xml:space="preserve">char_accuracy (평균)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biz-license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99.1%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contract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88.5%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driver-license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98.1%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id-card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97.0%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98.7%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91.2%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receipt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95.5%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합계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95.8%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3" w:name="X1ec54e8fcfba942a77194ce1aa766c0e739f7a7"/>
    <w:p>
      <w:pPr>
        <w:pStyle w:val="Heading2"/>
      </w:pPr>
      <w:r>
        <w:t xml:space="preserve">4. 현재 한계 (b2-baseline 확인 사항)</w:t>
      </w:r>
    </w:p>
    <w:p>
      <w:pPr>
        <w:pStyle w:val="FirstParagraph"/>
      </w:pPr>
      <w:r>
        <w:t xml:space="preserve">baseline 실행(</w:t>
      </w:r>
      <w:r>
        <w:rPr>
          <w:rStyle w:val="VerbatimChar"/>
        </w:rPr>
        <w:t xml:space="preserve">commit 11fee76</w:t>
      </w:r>
      <w:r>
        <w:t xml:space="preserve">) 분석에서 다음 5개 패턴이 반복적으로 확인됩니다.</w:t>
      </w:r>
    </w:p>
    <w:bookmarkStart w:id="18" w:name="Xd1fa08a683bf09481198dc7bba5a8f9ec7eb594"/>
    <w:p>
      <w:pPr>
        <w:pStyle w:val="Heading3"/>
      </w:pPr>
      <w:r>
        <w:t xml:space="preserve">4.1 ₩ → w 오인식 (유니코드 통화기호)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₩5,000,000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버5,OOO,OO0</w:t>
      </w:r>
      <w:r>
        <w:t xml:space="preserve">,</w:t>
      </w:r>
      <w:r>
        <w:t xml:space="preserve"> </w:t>
      </w:r>
      <w:r>
        <w:rPr>
          <w:rStyle w:val="VerbatimChar"/>
        </w:rPr>
        <w:t xml:space="preserve">₩ 399,000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 399,000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원인</w:t>
      </w:r>
      <w:r>
        <w:t xml:space="preserve">: EasyOCR이 U+20A9 (₩, WON SIGN)를 라틴 소문자 w 또는 한글 자모로 혼동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영향 필드</w:t>
      </w:r>
      <w:r>
        <w:t xml:space="preserve">:</w:t>
      </w:r>
      <w:r>
        <w:t xml:space="preserve"> </w:t>
      </w:r>
      <w:r>
        <w:rPr>
          <w:rStyle w:val="VerbatimChar"/>
        </w:rPr>
        <w:t xml:space="preserve">contract_amount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price_krw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exact_match_required: true</w:t>
      </w:r>
      <w:r>
        <w:t xml:space="preserve"> </w:t>
      </w:r>
      <w:r>
        <w:t xml:space="preserve">필드이므로 exact_match_rate에 직접 영향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우선순위</w:t>
      </w:r>
      <w:r>
        <w:t xml:space="preserve">: High — 금액 필드 정확도는 상업 서비스에서 critical</w:t>
      </w:r>
    </w:p>
    <w:bookmarkEnd w:id="18"/>
    <w:bookmarkStart w:id="19" w:name="Xd649cf23a9688e5e1c83e6314f70d20b434143f"/>
    <w:p>
      <w:pPr>
        <w:pStyle w:val="Heading3"/>
      </w:pPr>
      <w:r>
        <w:t xml:space="preserve">4.2 O/0 혼동 (숫자/영문)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5OOmL</w:t>
      </w:r>
      <w:r>
        <w:t xml:space="preserve"> </w:t>
      </w:r>
      <w:r>
        <w:t xml:space="preserve">(500mL의 0→O),</w:t>
      </w:r>
      <w:r>
        <w:t xml:space="preserve"> </w:t>
      </w:r>
      <w:r>
        <w:rPr>
          <w:rStyle w:val="VerbatimChar"/>
        </w:rPr>
        <w:t xml:space="preserve">OOO,OO0</w:t>
      </w:r>
      <w:r>
        <w:t xml:space="preserve"> </w:t>
      </w:r>
      <w:r>
        <w:t xml:space="preserve">(0을 O로 혼용)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원인</w:t>
      </w:r>
      <w:r>
        <w:t xml:space="preserve">: CPU 모드에서 낮은 해상도 픽셀 처리 시 O와 0의 획 두께 유사성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영향 필드</w:t>
      </w:r>
      <w:r>
        <w:t xml:space="preserve">: 단가·수량·모델번호 등 숫자 포함 필드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우선순위</w:t>
      </w:r>
      <w:r>
        <w:t xml:space="preserve">: Medium — tolerance 내 포함되는 경우가 많으나 exact_match 실패</w:t>
      </w:r>
    </w:p>
    <w:bookmarkEnd w:id="19"/>
    <w:bookmarkStart w:id="20" w:name="X129312b58a9e92647660a1177771541bc8e3676"/>
    <w:p>
      <w:pPr>
        <w:pStyle w:val="Heading3"/>
      </w:pPr>
      <w:r>
        <w:t xml:space="preserve">4.3 한영 혼합 라인 한글 드롭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혼합 문서 / Mixed Document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Mixed Document</w:t>
      </w:r>
      <w:r>
        <w:t xml:space="preserve"> </w:t>
      </w:r>
      <w:r>
        <w:t xml:space="preserve">(한글 파트 누락)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원인</w:t>
      </w:r>
      <w:r>
        <w:t xml:space="preserve">: EasyOCR ko+en 동시 추론 시 한글-영문 혼합 라인에서 언어 분기 오류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영향 필드</w:t>
      </w:r>
      <w:r>
        <w:t xml:space="preserve">:</w:t>
      </w:r>
      <w:r>
        <w:t xml:space="preserve"> </w:t>
      </w:r>
      <w:r>
        <w:rPr>
          <w:rStyle w:val="VerbatimChar"/>
        </w:rPr>
        <w:t xml:space="preserve">doc_title</w:t>
      </w:r>
      <w:r>
        <w:t xml:space="preserve"> </w:t>
      </w:r>
      <w:r>
        <w:t xml:space="preserve">등 혼합 텍스트 필드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우선순위</w:t>
      </w:r>
      <w:r>
        <w:t xml:space="preserve">: Medium — 문서 분류 정확도에 간접 영향</w:t>
      </w:r>
    </w:p>
    <w:bookmarkEnd w:id="20"/>
    <w:bookmarkStart w:id="21" w:name="X573793fb7e116a3bd4d043d37b30d7fca5501e2"/>
    <w:p>
      <w:pPr>
        <w:pStyle w:val="Heading3"/>
      </w:pPr>
      <w:r>
        <w:t xml:space="preserve">4.4 EasyOCR CPU 모드 정확도 한계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증상</w:t>
      </w:r>
      <w:r>
        <w:t xml:space="preserve">: 전반적 char_accuracy 95.8% — Phase 1 목표(≥97%)에 1.2%p 미달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원인</w:t>
      </w:r>
      <w:r>
        <w:t xml:space="preserve">: OrbStack amd64 emulation + CPU 전용 추론 → 해상도 저하·속도 제한으로 전처리 품질 감소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영향</w:t>
      </w:r>
      <w:r>
        <w:t xml:space="preserve">: 모든 카테고리에 분산된 편집거리 발생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우선순위</w:t>
      </w:r>
      <w:r>
        <w:t xml:space="preserve">: High — GPU + Linux-native 환경(Phase 1 MVP) 전환으로 해결 예정</w:t>
      </w:r>
    </w:p>
    <w:bookmarkEnd w:id="21"/>
    <w:bookmarkStart w:id="22" w:name="X9b1156a82288239f7f17edd36e2bb5834aaabd0"/>
    <w:p>
      <w:pPr>
        <w:pStyle w:val="Heading3"/>
      </w:pPr>
      <w:r>
        <w:t xml:space="preserve">4.5 fixtures 내 label-stripping 의존성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증상</w:t>
      </w:r>
      <w:r>
        <w:t xml:space="preserve">:</w:t>
      </w:r>
      <w:r>
        <w:t xml:space="preserve"> </w:t>
      </w:r>
      <w:r>
        <w:rPr>
          <w:rStyle w:val="VerbatimChar"/>
        </w:rPr>
        <w:t xml:space="preserve">party_b</w:t>
      </w:r>
      <w:r>
        <w:t xml:space="preserve"> </w:t>
      </w:r>
      <w:r>
        <w:t xml:space="preserve">expected</w:t>
      </w:r>
      <w:r>
        <w:t xml:space="preserve"> </w:t>
      </w:r>
      <w:r>
        <w:rPr>
          <w:rStyle w:val="VerbatimChar"/>
        </w:rPr>
        <w:t xml:space="preserve">프리랜서 최수진</w:t>
      </w:r>
      <w:r>
        <w:t xml:space="preserve">이나 matched에</w:t>
      </w:r>
      <w:r>
        <w:t xml:space="preserve"> </w:t>
      </w:r>
      <w:r>
        <w:rPr>
          <w:rStyle w:val="VerbatimChar"/>
        </w:rPr>
        <w:t xml:space="preserve">올:</w:t>
      </w:r>
      <w:r>
        <w:t xml:space="preserve"> </w:t>
      </w:r>
      <w:r>
        <w:t xml:space="preserve">prefix 포함 — label 포함 매칭으로 통과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원인</w:t>
      </w:r>
      <w:r>
        <w:t xml:space="preserve">: 정답 레이블(expected)이 label prefix를 제거한 순수 값이지만, OCR 결과에 label이 포함된 채로</w:t>
      </w:r>
      <w:r>
        <w:t xml:space="preserve"> </w:t>
      </w:r>
      <w:r>
        <w:rPr>
          <w:rStyle w:val="VerbatimChar"/>
        </w:rPr>
        <w:t xml:space="preserve">is_within_tolerance</w:t>
      </w:r>
      <w:r>
        <w:t xml:space="preserve"> </w:t>
      </w:r>
      <w:r>
        <w:t xml:space="preserve">판정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영향</w:t>
      </w:r>
      <w:r>
        <w:t xml:space="preserve">: field_recall 과대 계산 가능성 (현재 100.0%는 label 포함 매칭 결과)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우선순위</w:t>
      </w:r>
      <w:r>
        <w:t xml:space="preserve">: Medium — 테스트 harness 개선 시 정정 필요 (B2-T5에서 처리 예정)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1279c7c5bd416ca94ab236116b5a55d749eda86"/>
    <w:p>
      <w:pPr>
        <w:pStyle w:val="Heading2"/>
      </w:pPr>
      <w:r>
        <w:t xml:space="preserve">5. 회귀 방지</w:t>
      </w:r>
    </w:p>
    <w:bookmarkStart w:id="24" w:name="X17a346e789ae126417c7ab25da5a2b2e0daf1b2"/>
    <w:p>
      <w:pPr>
        <w:pStyle w:val="Heading3"/>
      </w:pPr>
      <w:r>
        <w:t xml:space="preserve">5.1 b2-baseline tag</w:t>
      </w:r>
    </w:p>
    <w:p>
      <w:pPr>
        <w:pStyle w:val="SourceCode"/>
      </w:pPr>
      <w:r>
        <w:rPr>
          <w:rStyle w:val="CommentTok"/>
        </w:rPr>
        <w:t xml:space="preserve"># baseline tag 확인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b2-baseline</w:t>
      </w:r>
      <w:r>
        <w:br/>
      </w:r>
      <w:r>
        <w:br/>
      </w:r>
      <w:r>
        <w:rPr>
          <w:rStyle w:val="CommentTok"/>
        </w:rPr>
        <w:t xml:space="preserve"># baseline 리포트 경로</w:t>
      </w:r>
      <w:r>
        <w:br/>
      </w:r>
      <w:r>
        <w:rPr>
          <w:rStyle w:val="ExtensionTok"/>
        </w:rPr>
        <w:t xml:space="preserve">tests/accuracy/reports/baseline-11fee76.json</w:t>
      </w:r>
    </w:p>
    <w:bookmarkEnd w:id="24"/>
    <w:bookmarkStart w:id="25" w:name="X5946fa9f0079b0a04a93aa4923c11e11ba8633d"/>
    <w:p>
      <w:pPr>
        <w:pStyle w:val="Heading3"/>
      </w:pPr>
      <w:r>
        <w:t xml:space="preserve">5.2 CI 연결 방안 (scaffold)</w:t>
      </w:r>
    </w:p>
    <w:p>
      <w:pPr>
        <w:pStyle w:val="FirstParagraph"/>
      </w:pPr>
      <w:r>
        <w:t xml:space="preserve">현재(2026-04-22): 수동 실행 (</w:t>
      </w:r>
      <w:r>
        <w:rPr>
          <w:rStyle w:val="VerbatimChar"/>
        </w:rPr>
        <w:t xml:space="preserve">bash tests/accuracy/run.sh</w:t>
      </w:r>
      <w:r>
        <w:t xml:space="preserve">)</w:t>
      </w:r>
    </w:p>
    <w:p>
      <w:pPr>
        <w:pStyle w:val="BodyText"/>
      </w:pPr>
      <w:r>
        <w:t xml:space="preserve">Phase 1 목표:</w:t>
      </w:r>
    </w:p>
    <w:p>
      <w:pPr>
        <w:pStyle w:val="Compact"/>
        <w:numPr>
          <w:ilvl w:val="0"/>
          <w:numId w:val="1007"/>
        </w:numPr>
      </w:pPr>
      <w:r>
        <w:t xml:space="preserve">GitHub Actions workflow 추가:</w:t>
      </w:r>
      <w:r>
        <w:t xml:space="preserve"> </w:t>
      </w:r>
      <w:r>
        <w:rPr>
          <w:rStyle w:val="VerbatimChar"/>
        </w:rPr>
        <w:t xml:space="preserve">.github/workflows/accuracy-gate.yml</w:t>
      </w:r>
    </w:p>
    <w:p>
      <w:pPr>
        <w:pStyle w:val="Compact"/>
        <w:numPr>
          <w:ilvl w:val="0"/>
          <w:numId w:val="1007"/>
        </w:numPr>
      </w:pPr>
      <w:r>
        <w:t xml:space="preserve">트리거:</w:t>
      </w:r>
      <w:r>
        <w:t xml:space="preserve"> </w:t>
      </w:r>
      <w:r>
        <w:rPr>
          <w:rStyle w:val="VerbatimChar"/>
        </w:rPr>
        <w:t xml:space="preserve">push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pull_request</w:t>
      </w:r>
      <w:r>
        <w:t xml:space="preserve"> </w:t>
      </w:r>
      <w:r>
        <w:t xml:space="preserve">targeting</w:t>
      </w:r>
      <w:r>
        <w:t xml:space="preserve"> </w:t>
      </w:r>
      <w:r>
        <w:rPr>
          <w:rStyle w:val="VerbatimChar"/>
        </w:rPr>
        <w:t xml:space="preserve">main</w:t>
      </w:r>
    </w:p>
    <w:p>
      <w:pPr>
        <w:pStyle w:val="Compact"/>
        <w:numPr>
          <w:ilvl w:val="0"/>
          <w:numId w:val="1007"/>
        </w:numPr>
      </w:pPr>
      <w:r>
        <w:t xml:space="preserve">Gate 조건: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char_accuracy &lt; 0.95</w:t>
      </w:r>
      <w:r>
        <w:t xml:space="preserve"> </w:t>
      </w:r>
      <w:r>
        <w:t xml:space="preserve">→ fail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exact_match_rate &lt; 0.78</w:t>
      </w:r>
      <w:r>
        <w:t xml:space="preserve"> </w:t>
      </w:r>
      <w:r>
        <w:t xml:space="preserve">(현재 baseline 이하) → fail</w:t>
      </w:r>
    </w:p>
    <w:p>
      <w:pPr>
        <w:pStyle w:val="Compact"/>
        <w:numPr>
          <w:ilvl w:val="0"/>
          <w:numId w:val="1007"/>
        </w:numPr>
      </w:pPr>
      <w:r>
        <w:t xml:space="preserve">리포트 아티팩트:</w:t>
      </w:r>
      <w:r>
        <w:t xml:space="preserve"> </w:t>
      </w:r>
      <w:r>
        <w:rPr>
          <w:rStyle w:val="VerbatimChar"/>
        </w:rPr>
        <w:t xml:space="preserve">tests/accuracy/reports/</w:t>
      </w:r>
      <w:r>
        <w:t xml:space="preserve"> </w:t>
      </w:r>
      <w:r>
        <w:t xml:space="preserve">디렉토리를 Actions artifact로 업로드</w:t>
      </w:r>
    </w:p>
    <w:p>
      <w:pPr>
        <w:pStyle w:val="FirstParagraph"/>
      </w:pPr>
      <w:r>
        <w:t xml:space="preserve">재검토 조건: Phase 1 MVP 완료 시점(EasyOCR → PP-OCRv4 전환 후) CI gate 임계값을 Phase 1 MVP 목표치(≥97%, ≥85%)로 상향 조정.</w:t>
      </w:r>
      <w:r>
        <w:br/>
      </w:r>
      <w:r>
        <w:t xml:space="preserve">책임자: 프로젝트 리드.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X00a3167d35593ba49a7a10c32460d9efac628f4"/>
    <w:p>
      <w:pPr>
        <w:pStyle w:val="Heading2"/>
      </w:pPr>
      <w:r>
        <w:t xml:space="preserve">6. 참고 링크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경로 / 출처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솔루션 설계서 §3.3 (정확도 기준)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docs/superpowers/specs/2026-04-18-ocr-solution-design.md</w:t>
            </w:r>
            <w:r>
              <w:t xml:space="preserve"> </w:t>
            </w:r>
            <w:r>
              <w:t xml:space="preserve">§3.3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Stage B-2 구현 계획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docs/superpowers/plans/2026-04-23-stage-b2-accuracy-harness.md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baseline 리포트 (11fee76)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tests/accuracy/reports/baseline-11fee76.json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 harness 실행 스크립트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tests/accuracy/run.sh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EasyOCR 공식 문서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https://github.com/JaidedAI/EasyOCR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Levenshtein distance (Wikipedia)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https://en.wikipedia.org/wiki/Levenshtein_distance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CLOVA OCR 벤치마크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https://clova.ai/ocr</w:t>
              </w:r>
            </w:hyperlink>
            <w:r>
              <w:t xml:space="preserve"> </w:t>
            </w:r>
            <w:r>
              <w:t xml:space="preserve">(외부, 참고용)</w:t>
            </w:r>
          </w:p>
        </w:tc>
      </w:tr>
    </w:tbl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clova.ai/ocr" TargetMode="External" /><Relationship Type="http://schemas.openxmlformats.org/officeDocument/2006/relationships/hyperlink" Id="rId28" Target="https://en.wikipedia.org/wiki/Levenshtein_distance" TargetMode="External" /><Relationship Type="http://schemas.openxmlformats.org/officeDocument/2006/relationships/hyperlink" Id="rId27" Target="https://github.com/JaidedAI/EasyOC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clova.ai/ocr" TargetMode="External" /><Relationship Type="http://schemas.openxmlformats.org/officeDocument/2006/relationships/hyperlink" Id="rId28" Target="https://en.wikipedia.org/wiki/Levenshtein_distance" TargetMode="External" /><Relationship Type="http://schemas.openxmlformats.org/officeDocument/2006/relationships/hyperlink" Id="rId27" Target="https://github.com/JaidedAI/EasyOC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2026-04-23T02:54:13Z</dcterms:created>
  <dcterms:modified xsi:type="dcterms:W3CDTF">2026-04-23T02:54:13Z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