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B7B" w:rsidRDefault="00591255">
      <w:r>
        <w:t>Amenities</w:t>
      </w:r>
    </w:p>
    <w:p w:rsidR="00591255" w:rsidRDefault="00591255" w:rsidP="00591255">
      <w:r>
        <w:t>•         People in general want as many amenities as their employer will offer so long as it doesn’t cut into their own compensation/benefits</w:t>
      </w:r>
    </w:p>
    <w:p w:rsidR="00591255" w:rsidRDefault="00591255" w:rsidP="00591255">
      <w:r>
        <w:t>•         Many people surveyed are in favor of having either an in-house fitness center and/or local fitness center vouchers. Opinions vary as to whether or not the people surveyed will actually use such an in-house facility.</w:t>
      </w:r>
    </w:p>
    <w:p w:rsidR="00591255" w:rsidRDefault="00591255" w:rsidP="00591255">
      <w:r>
        <w:t xml:space="preserve">•         Over half of people surveyed (58.5%) are in favor of a cafeteria and a larger margin of people surveyed (62.2%) are in favor of having a plenty of nearby eating areas. </w:t>
      </w:r>
    </w:p>
    <w:p w:rsidR="00591255" w:rsidRDefault="00591255" w:rsidP="00591255">
      <w:r>
        <w:t>•         Many cite convenience/ease of access to food as an important factor. Some seem content with bringing their own lunches. Others commented that they hope to have healthy and cheap food options if there is a cafeteria. (commentary- Although healthy foods would likely be available in a cafeteria, providing  food at a lower cost than local restaurants/eateries is unlikely. Usually corporations bring in outside contractors that arrange the cafeteria food sourcing/management/etc. Those companies operate for profit and usually aren’t particularly cheap.)</w:t>
      </w:r>
    </w:p>
    <w:p w:rsidR="00591255" w:rsidRDefault="00591255" w:rsidP="00591255">
      <w:r>
        <w:t>•         Over half of people surveyed were in favor of quiet/relaxation area, break room, and attached outdoor greenspace. This is consistent with the idea that people are in favor of as many amenities as possible so long as it doesn’t change their own compensation/benefits. Most cite that such areas can help to reduce workplace stress.</w:t>
      </w:r>
    </w:p>
    <w:p w:rsidR="00591255" w:rsidRDefault="00591255" w:rsidP="00591255">
      <w:r>
        <w:t>Departmental Dependencies</w:t>
      </w: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sz w:val="24"/>
          <w:u w:val="single"/>
        </w:rPr>
        <w:t>In my department…</w:t>
      </w:r>
    </w:p>
    <w:p w:rsidR="00591255" w:rsidRDefault="00591255" w:rsidP="00591255">
      <w:pPr>
        <w:spacing w:after="0" w:line="240" w:lineRule="auto"/>
        <w:rPr>
          <w:rFonts w:ascii="Times New Roman" w:hAnsi="Times New Roman" w:cs="Times New Roman"/>
          <w:b/>
          <w:sz w:val="24"/>
        </w:rPr>
      </w:pPr>
      <w:r>
        <w:rPr>
          <w:rFonts w:ascii="Times New Roman" w:hAnsi="Times New Roman" w:cs="Times New Roman"/>
          <w:b/>
          <w:sz w:val="24"/>
        </w:rPr>
        <w:t>I benefit most from working independently (78).</w:t>
      </w:r>
    </w:p>
    <w:p w:rsidR="00591255" w:rsidRDefault="00591255" w:rsidP="0059125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11.54% - Disagree</w:t>
      </w:r>
    </w:p>
    <w:p w:rsidR="00591255" w:rsidRDefault="00591255" w:rsidP="0059125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26.92% - Neutral</w:t>
      </w:r>
    </w:p>
    <w:p w:rsidR="00591255" w:rsidRDefault="00591255" w:rsidP="0059125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42.31% - Agree</w:t>
      </w:r>
    </w:p>
    <w:p w:rsidR="00591255" w:rsidRDefault="00591255" w:rsidP="0059125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19.23% - Strongly Agree</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b/>
          <w:sz w:val="24"/>
        </w:rPr>
        <w:t>I benefit most from collaborative work (81).</w:t>
      </w:r>
    </w:p>
    <w:p w:rsidR="00591255" w:rsidRDefault="00591255" w:rsidP="005912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2.47% - Strongly Disagree</w:t>
      </w:r>
    </w:p>
    <w:p w:rsidR="00591255" w:rsidRDefault="00591255" w:rsidP="005912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4.94% - Disagree</w:t>
      </w:r>
    </w:p>
    <w:p w:rsidR="00591255" w:rsidRDefault="00591255" w:rsidP="005912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24.69% - Neutral</w:t>
      </w:r>
    </w:p>
    <w:p w:rsidR="00591255" w:rsidRDefault="00591255" w:rsidP="005912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48.15% - Agree</w:t>
      </w:r>
    </w:p>
    <w:p w:rsidR="00591255" w:rsidRDefault="00591255" w:rsidP="00591255">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19.75% - Strongly Agree</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b/>
          <w:sz w:val="24"/>
        </w:rPr>
        <w:t>I value my privacy (77).</w:t>
      </w:r>
    </w:p>
    <w:p w:rsidR="00591255" w:rsidRDefault="00591255" w:rsidP="00591255">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5.19% - Disagree</w:t>
      </w:r>
    </w:p>
    <w:p w:rsidR="00591255" w:rsidRDefault="00591255" w:rsidP="00591255">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12.99% - Neutral</w:t>
      </w:r>
    </w:p>
    <w:p w:rsidR="00591255" w:rsidRDefault="00591255" w:rsidP="00591255">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55.84% - Agree</w:t>
      </w:r>
    </w:p>
    <w:p w:rsidR="00591255" w:rsidRDefault="00591255" w:rsidP="00591255">
      <w:pPr>
        <w:pStyle w:val="ListParagraph"/>
        <w:numPr>
          <w:ilvl w:val="0"/>
          <w:numId w:val="3"/>
        </w:numPr>
        <w:spacing w:after="0" w:line="240" w:lineRule="auto"/>
        <w:rPr>
          <w:rFonts w:ascii="Times New Roman" w:hAnsi="Times New Roman" w:cs="Times New Roman"/>
          <w:sz w:val="24"/>
        </w:rPr>
      </w:pPr>
      <w:r>
        <w:rPr>
          <w:rFonts w:ascii="Times New Roman" w:hAnsi="Times New Roman" w:cs="Times New Roman"/>
          <w:sz w:val="24"/>
        </w:rPr>
        <w:t>25.97% - Strongly Agree</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b/>
          <w:sz w:val="24"/>
        </w:rPr>
      </w:pPr>
      <w:r>
        <w:rPr>
          <w:rFonts w:ascii="Times New Roman" w:hAnsi="Times New Roman" w:cs="Times New Roman"/>
          <w:b/>
          <w:sz w:val="24"/>
        </w:rPr>
        <w:t>It’s easy to communicate with my coworkers within my workspace (80).</w:t>
      </w:r>
    </w:p>
    <w:p w:rsidR="00591255" w:rsidRDefault="00591255" w:rsidP="00591255">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3.75% - Strongly Disagree</w:t>
      </w:r>
    </w:p>
    <w:p w:rsidR="00591255" w:rsidRDefault="00591255" w:rsidP="00591255">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7.50% - Disagree</w:t>
      </w:r>
    </w:p>
    <w:p w:rsidR="00591255" w:rsidRDefault="00591255" w:rsidP="00591255">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20% - Neutral</w:t>
      </w:r>
    </w:p>
    <w:p w:rsidR="00591255" w:rsidRDefault="00591255" w:rsidP="00591255">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33.75% - Agree</w:t>
      </w:r>
    </w:p>
    <w:p w:rsidR="00591255" w:rsidRDefault="00591255" w:rsidP="00591255">
      <w:pPr>
        <w:pStyle w:val="ListParagraph"/>
        <w:numPr>
          <w:ilvl w:val="0"/>
          <w:numId w:val="4"/>
        </w:numPr>
        <w:spacing w:after="0" w:line="240" w:lineRule="auto"/>
        <w:rPr>
          <w:rFonts w:ascii="Times New Roman" w:hAnsi="Times New Roman" w:cs="Times New Roman"/>
          <w:sz w:val="24"/>
        </w:rPr>
      </w:pPr>
      <w:r>
        <w:rPr>
          <w:rFonts w:ascii="Times New Roman" w:hAnsi="Times New Roman" w:cs="Times New Roman"/>
          <w:sz w:val="24"/>
        </w:rPr>
        <w:t>35% - Strongly Agree</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u w:val="single"/>
        </w:rPr>
      </w:pPr>
      <w:r>
        <w:rPr>
          <w:rFonts w:ascii="Times New Roman" w:hAnsi="Times New Roman" w:cs="Times New Roman"/>
          <w:sz w:val="24"/>
          <w:u w:val="single"/>
        </w:rPr>
        <w:t>Rely on which departments, if any, on a daily basis (98).</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8.16% - IT</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10.20% - HR</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12.24% - Marketing</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5.10% - Accounting</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2.04% - Sales</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6.12% - Multiple</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2.04% - All Departments</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7.14% - Finance</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5.10% - Administration</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5.10% - Business Entities</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21.43% - None or N/A</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3.06% - Treasury</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1.02% - Credit Risk </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4.08% - Internal Audit</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3.06% - Management</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2.04% - Engineers</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1.02% - Legal</w:t>
      </w:r>
    </w:p>
    <w:p w:rsidR="00591255" w:rsidRDefault="00591255" w:rsidP="00591255">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1.02% - Members Strategies</w:t>
      </w:r>
    </w:p>
    <w:p w:rsidR="00591255" w:rsidRDefault="00591255" w:rsidP="00591255">
      <w:pPr>
        <w:pStyle w:val="ListParagraph"/>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sz w:val="24"/>
          <w:u w:val="single"/>
        </w:rPr>
        <w:t>Kind of environment department benefits from the most (83).</w:t>
      </w:r>
    </w:p>
    <w:p w:rsidR="00591255" w:rsidRDefault="00591255" w:rsidP="0059125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Due to the age preference for this survey, the kind of environment that the next generation seems to want or enjoy more is Modern (67.5%). Both the Traditional and Modern options have mentioned using open spaces. The Modern space individuals believe that a combination of different offices is better than just cubicles like the Traditional (32.5%).  </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sz w:val="24"/>
          <w:u w:val="single"/>
        </w:rPr>
        <w:t xml:space="preserve">Explanation of most beneficial department (15). </w:t>
      </w:r>
    </w:p>
    <w:p w:rsidR="00591255" w:rsidRDefault="00591255" w:rsidP="0059125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6.67% - Productive</w:t>
      </w:r>
    </w:p>
    <w:p w:rsidR="00591255" w:rsidRDefault="00591255" w:rsidP="0059125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33.33% - Privacy</w:t>
      </w:r>
    </w:p>
    <w:p w:rsidR="00591255" w:rsidRDefault="00591255" w:rsidP="0059125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33.33% - Collaboration</w:t>
      </w:r>
    </w:p>
    <w:p w:rsidR="00591255" w:rsidRDefault="00591255" w:rsidP="0059125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20% - Depends on the Department</w:t>
      </w:r>
    </w:p>
    <w:p w:rsidR="00591255" w:rsidRDefault="00591255" w:rsidP="00591255">
      <w:pPr>
        <w:pStyle w:val="ListParagraph"/>
        <w:numPr>
          <w:ilvl w:val="0"/>
          <w:numId w:val="6"/>
        </w:numPr>
        <w:spacing w:after="0" w:line="240" w:lineRule="auto"/>
        <w:rPr>
          <w:rFonts w:ascii="Times New Roman" w:hAnsi="Times New Roman" w:cs="Times New Roman"/>
          <w:sz w:val="24"/>
        </w:rPr>
      </w:pPr>
      <w:r>
        <w:rPr>
          <w:rFonts w:ascii="Times New Roman" w:hAnsi="Times New Roman" w:cs="Times New Roman"/>
          <w:sz w:val="24"/>
        </w:rPr>
        <w:t xml:space="preserve">6.67% - Unsure about change affect </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sz w:val="24"/>
          <w:u w:val="single"/>
        </w:rPr>
        <w:t>How communication can be improved within department (19).</w:t>
      </w:r>
    </w:p>
    <w:p w:rsidR="00591255" w:rsidRDefault="00591255" w:rsidP="0059125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10.53% - Group Chats</w:t>
      </w:r>
    </w:p>
    <w:p w:rsidR="00591255" w:rsidRDefault="00591255" w:rsidP="0059125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10.53% - More Talkative</w:t>
      </w:r>
    </w:p>
    <w:p w:rsidR="00591255" w:rsidRDefault="00591255" w:rsidP="0059125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lastRenderedPageBreak/>
        <w:t>31.58% - “Open Door” Policy</w:t>
      </w:r>
    </w:p>
    <w:p w:rsidR="00591255" w:rsidRDefault="00591255" w:rsidP="0059125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36.84% - More Face-to-Face Interaction Activities</w:t>
      </w:r>
    </w:p>
    <w:p w:rsidR="00591255" w:rsidRDefault="00591255" w:rsidP="00591255">
      <w:pPr>
        <w:pStyle w:val="ListParagraph"/>
        <w:numPr>
          <w:ilvl w:val="0"/>
          <w:numId w:val="7"/>
        </w:numPr>
        <w:spacing w:after="0" w:line="240" w:lineRule="auto"/>
        <w:rPr>
          <w:rFonts w:ascii="Times New Roman" w:hAnsi="Times New Roman" w:cs="Times New Roman"/>
          <w:sz w:val="24"/>
        </w:rPr>
      </w:pPr>
      <w:r>
        <w:rPr>
          <w:rFonts w:ascii="Times New Roman" w:hAnsi="Times New Roman" w:cs="Times New Roman"/>
          <w:sz w:val="24"/>
        </w:rPr>
        <w:t>10.53% - Specific Department Work Phones</w:t>
      </w:r>
    </w:p>
    <w:p w:rsidR="00591255" w:rsidRDefault="00591255" w:rsidP="00591255">
      <w:pPr>
        <w:spacing w:after="0" w:line="240" w:lineRule="auto"/>
        <w:rPr>
          <w:rFonts w:ascii="Times New Roman" w:hAnsi="Times New Roman" w:cs="Times New Roman"/>
          <w:sz w:val="24"/>
        </w:rPr>
      </w:pPr>
    </w:p>
    <w:p w:rsidR="00591255" w:rsidRDefault="00591255" w:rsidP="00591255">
      <w:pPr>
        <w:spacing w:after="0" w:line="240" w:lineRule="auto"/>
        <w:rPr>
          <w:rFonts w:ascii="Times New Roman" w:hAnsi="Times New Roman" w:cs="Times New Roman"/>
          <w:sz w:val="24"/>
        </w:rPr>
      </w:pPr>
      <w:r>
        <w:rPr>
          <w:rFonts w:ascii="Times New Roman" w:hAnsi="Times New Roman" w:cs="Times New Roman"/>
          <w:sz w:val="24"/>
          <w:u w:val="single"/>
        </w:rPr>
        <w:t xml:space="preserve">Regularly Departmental Challenges (16). </w:t>
      </w:r>
    </w:p>
    <w:p w:rsidR="00591255" w:rsidRDefault="00591255" w:rsidP="00591255">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18.75% - Space Limitation</w:t>
      </w:r>
    </w:p>
    <w:p w:rsidR="00591255" w:rsidRDefault="00591255" w:rsidP="00591255">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12.50% - Budget Constraints</w:t>
      </w:r>
    </w:p>
    <w:p w:rsidR="00591255" w:rsidRDefault="00591255" w:rsidP="00591255">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43.75% - Miscommunication</w:t>
      </w:r>
    </w:p>
    <w:p w:rsidR="00591255" w:rsidRDefault="00591255" w:rsidP="00591255">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18.75% - Too Much Work, Not Enough People</w:t>
      </w:r>
    </w:p>
    <w:p w:rsidR="00591255" w:rsidRPr="00591255" w:rsidRDefault="00591255" w:rsidP="00591255">
      <w:pPr>
        <w:pStyle w:val="ListParagraph"/>
        <w:numPr>
          <w:ilvl w:val="0"/>
          <w:numId w:val="8"/>
        </w:numPr>
        <w:spacing w:after="0" w:line="240" w:lineRule="auto"/>
        <w:rPr>
          <w:rFonts w:ascii="Times New Roman" w:hAnsi="Times New Roman" w:cs="Times New Roman"/>
          <w:sz w:val="24"/>
        </w:rPr>
      </w:pPr>
      <w:r>
        <w:rPr>
          <w:rFonts w:ascii="Times New Roman" w:hAnsi="Times New Roman" w:cs="Times New Roman"/>
          <w:sz w:val="24"/>
        </w:rPr>
        <w:t>6.25% - Privacy</w:t>
      </w:r>
    </w:p>
    <w:p w:rsidR="00591255" w:rsidRPr="00591255" w:rsidRDefault="00591255" w:rsidP="00591255">
      <w:pPr>
        <w:pStyle w:val="ListParagraph"/>
        <w:spacing w:after="0" w:line="240" w:lineRule="auto"/>
        <w:rPr>
          <w:rFonts w:ascii="Times New Roman" w:hAnsi="Times New Roman" w:cs="Times New Roman"/>
          <w:sz w:val="24"/>
          <w:u w:val="single"/>
        </w:rPr>
      </w:pPr>
    </w:p>
    <w:p w:rsidR="00591255" w:rsidRPr="00591255" w:rsidRDefault="00591255" w:rsidP="00591255">
      <w:pPr>
        <w:pStyle w:val="ListParagraph"/>
        <w:numPr>
          <w:ilvl w:val="0"/>
          <w:numId w:val="8"/>
        </w:numPr>
        <w:spacing w:after="0" w:line="240" w:lineRule="auto"/>
        <w:rPr>
          <w:rFonts w:ascii="Times New Roman" w:hAnsi="Times New Roman" w:cs="Times New Roman"/>
          <w:sz w:val="24"/>
          <w:u w:val="single"/>
        </w:rPr>
      </w:pPr>
      <w:r w:rsidRPr="00591255">
        <w:rPr>
          <w:rFonts w:ascii="Times New Roman" w:hAnsi="Times New Roman" w:cs="Times New Roman"/>
          <w:sz w:val="24"/>
          <w:u w:val="single"/>
        </w:rPr>
        <w:t>Department Reliance</w:t>
      </w:r>
    </w:p>
    <w:p w:rsidR="00591255" w:rsidRPr="00591255" w:rsidRDefault="00591255" w:rsidP="00591255">
      <w:pPr>
        <w:pStyle w:val="ListParagraph"/>
        <w:spacing w:after="0" w:line="240" w:lineRule="auto"/>
        <w:rPr>
          <w:rFonts w:ascii="Times New Roman" w:hAnsi="Times New Roman" w:cs="Times New Roman"/>
          <w:sz w:val="24"/>
        </w:rPr>
      </w:pPr>
    </w:p>
    <w:p w:rsidR="00591255" w:rsidRPr="00591255" w:rsidRDefault="00591255" w:rsidP="00591255">
      <w:pPr>
        <w:pStyle w:val="ListParagraph"/>
        <w:spacing w:after="0" w:line="240" w:lineRule="auto"/>
        <w:rPr>
          <w:rFonts w:ascii="Times New Roman" w:hAnsi="Times New Roman" w:cs="Times New Roman"/>
          <w:sz w:val="24"/>
        </w:rPr>
      </w:pPr>
      <w:r>
        <w:rPr>
          <w:noProof/>
        </w:rPr>
        <w:drawing>
          <wp:inline distT="0" distB="0" distL="0" distR="0" wp14:anchorId="757CEBCB" wp14:editId="546ED031">
            <wp:extent cx="6035040" cy="3482975"/>
            <wp:effectExtent l="0" t="0" r="2286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91255" w:rsidRPr="00591255" w:rsidRDefault="00591255" w:rsidP="00591255">
      <w:pPr>
        <w:pStyle w:val="ListParagraph"/>
        <w:spacing w:after="0" w:line="240" w:lineRule="auto"/>
        <w:rPr>
          <w:rFonts w:ascii="Times New Roman" w:hAnsi="Times New Roman" w:cs="Times New Roman"/>
          <w:sz w:val="24"/>
        </w:rPr>
      </w:pPr>
    </w:p>
    <w:p w:rsidR="00591255" w:rsidRPr="00591255" w:rsidRDefault="00591255" w:rsidP="00591255">
      <w:pPr>
        <w:pStyle w:val="ListParagraph"/>
        <w:spacing w:after="0" w:line="240" w:lineRule="auto"/>
        <w:rPr>
          <w:rFonts w:ascii="Times New Roman" w:hAnsi="Times New Roman" w:cs="Times New Roman"/>
          <w:sz w:val="24"/>
        </w:rPr>
      </w:pPr>
    </w:p>
    <w:p w:rsidR="00591255" w:rsidRPr="00591255" w:rsidRDefault="00591255" w:rsidP="00591255">
      <w:pPr>
        <w:pStyle w:val="ListParagraph"/>
        <w:numPr>
          <w:ilvl w:val="0"/>
          <w:numId w:val="8"/>
        </w:numPr>
        <w:spacing w:after="0" w:line="240" w:lineRule="auto"/>
        <w:rPr>
          <w:rFonts w:ascii="Times New Roman" w:hAnsi="Times New Roman" w:cs="Times New Roman"/>
          <w:sz w:val="24"/>
          <w:u w:val="single"/>
        </w:rPr>
      </w:pPr>
      <w:r w:rsidRPr="00591255">
        <w:rPr>
          <w:rFonts w:ascii="Times New Roman" w:hAnsi="Times New Roman" w:cs="Times New Roman"/>
          <w:sz w:val="24"/>
          <w:u w:val="single"/>
        </w:rPr>
        <w:t>Beneficial Department Explanation</w:t>
      </w:r>
    </w:p>
    <w:p w:rsidR="00591255" w:rsidRPr="00591255" w:rsidRDefault="00591255" w:rsidP="00591255">
      <w:pPr>
        <w:pStyle w:val="ListParagraph"/>
        <w:spacing w:after="0" w:line="240" w:lineRule="auto"/>
        <w:rPr>
          <w:rFonts w:ascii="Times New Roman" w:hAnsi="Times New Roman" w:cs="Times New Roman"/>
          <w:sz w:val="24"/>
        </w:rPr>
      </w:pPr>
    </w:p>
    <w:p w:rsidR="00591255" w:rsidRPr="00591255" w:rsidRDefault="00591255" w:rsidP="00591255">
      <w:pPr>
        <w:pStyle w:val="ListParagraph"/>
        <w:spacing w:after="0" w:line="240" w:lineRule="auto"/>
        <w:rPr>
          <w:rFonts w:ascii="Times New Roman" w:hAnsi="Times New Roman" w:cs="Times New Roman"/>
          <w:sz w:val="24"/>
        </w:rPr>
      </w:pPr>
      <w:r>
        <w:rPr>
          <w:noProof/>
        </w:rPr>
        <w:lastRenderedPageBreak/>
        <w:drawing>
          <wp:inline distT="0" distB="0" distL="0" distR="0" wp14:anchorId="2AD981CC" wp14:editId="75552B0D">
            <wp:extent cx="5836285" cy="3108960"/>
            <wp:effectExtent l="0" t="0" r="12065"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1255" w:rsidRPr="00591255" w:rsidRDefault="00591255" w:rsidP="00591255">
      <w:pPr>
        <w:pStyle w:val="ListParagraph"/>
        <w:spacing w:after="0" w:line="240" w:lineRule="auto"/>
        <w:rPr>
          <w:rFonts w:ascii="Times New Roman" w:hAnsi="Times New Roman" w:cs="Times New Roman"/>
          <w:sz w:val="24"/>
          <w:u w:val="single"/>
        </w:rPr>
      </w:pPr>
    </w:p>
    <w:p w:rsidR="00591255" w:rsidRPr="00591255" w:rsidRDefault="00591255" w:rsidP="00591255">
      <w:pPr>
        <w:pStyle w:val="ListParagraph"/>
        <w:numPr>
          <w:ilvl w:val="0"/>
          <w:numId w:val="8"/>
        </w:numPr>
        <w:spacing w:after="0" w:line="240" w:lineRule="auto"/>
        <w:rPr>
          <w:rFonts w:ascii="Times New Roman" w:hAnsi="Times New Roman" w:cs="Times New Roman"/>
          <w:sz w:val="24"/>
          <w:u w:val="single"/>
        </w:rPr>
      </w:pPr>
      <w:r w:rsidRPr="00591255">
        <w:rPr>
          <w:rFonts w:ascii="Times New Roman" w:hAnsi="Times New Roman" w:cs="Times New Roman"/>
          <w:sz w:val="24"/>
          <w:u w:val="single"/>
        </w:rPr>
        <w:t>Improved Communication</w:t>
      </w:r>
    </w:p>
    <w:p w:rsidR="00591255" w:rsidRPr="00591255" w:rsidRDefault="00591255" w:rsidP="00591255">
      <w:pPr>
        <w:pStyle w:val="ListParagraph"/>
        <w:spacing w:after="0" w:line="240" w:lineRule="auto"/>
        <w:rPr>
          <w:rFonts w:ascii="Times New Roman" w:hAnsi="Times New Roman" w:cs="Times New Roman"/>
          <w:sz w:val="24"/>
        </w:rPr>
      </w:pPr>
    </w:p>
    <w:p w:rsidR="00591255" w:rsidRPr="00591255" w:rsidRDefault="00591255" w:rsidP="00591255">
      <w:pPr>
        <w:pStyle w:val="ListParagraph"/>
        <w:spacing w:after="0" w:line="240" w:lineRule="auto"/>
        <w:rPr>
          <w:rFonts w:ascii="Times New Roman" w:hAnsi="Times New Roman" w:cs="Times New Roman"/>
          <w:sz w:val="24"/>
        </w:rPr>
      </w:pPr>
      <w:r>
        <w:rPr>
          <w:noProof/>
        </w:rPr>
        <w:drawing>
          <wp:inline distT="0" distB="0" distL="0" distR="0" wp14:anchorId="34C55FBF" wp14:editId="12F6FA81">
            <wp:extent cx="5613400" cy="3482975"/>
            <wp:effectExtent l="0" t="0" r="25400" b="222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91255" w:rsidRPr="00591255" w:rsidRDefault="00591255" w:rsidP="00591255">
      <w:pPr>
        <w:pStyle w:val="ListParagraph"/>
        <w:spacing w:after="0" w:line="240" w:lineRule="auto"/>
        <w:rPr>
          <w:rFonts w:ascii="Times New Roman" w:hAnsi="Times New Roman" w:cs="Times New Roman"/>
          <w:sz w:val="24"/>
        </w:rPr>
      </w:pPr>
    </w:p>
    <w:p w:rsidR="00591255" w:rsidRPr="00591255" w:rsidRDefault="00591255" w:rsidP="00591255">
      <w:pPr>
        <w:pStyle w:val="ListParagraph"/>
        <w:numPr>
          <w:ilvl w:val="0"/>
          <w:numId w:val="8"/>
        </w:numPr>
        <w:spacing w:after="0" w:line="240" w:lineRule="auto"/>
        <w:rPr>
          <w:rFonts w:ascii="Times New Roman" w:hAnsi="Times New Roman" w:cs="Times New Roman"/>
          <w:sz w:val="24"/>
        </w:rPr>
      </w:pPr>
      <w:r w:rsidRPr="00591255">
        <w:rPr>
          <w:rFonts w:ascii="Times New Roman" w:hAnsi="Times New Roman" w:cs="Times New Roman"/>
          <w:sz w:val="24"/>
          <w:u w:val="single"/>
        </w:rPr>
        <w:t>Department Challenges</w:t>
      </w:r>
    </w:p>
    <w:p w:rsidR="00591255" w:rsidRDefault="00591255" w:rsidP="00591255">
      <w:pPr>
        <w:pStyle w:val="ListParagraph"/>
        <w:spacing w:after="0" w:line="240" w:lineRule="auto"/>
        <w:rPr>
          <w:rFonts w:ascii="Times New Roman" w:hAnsi="Times New Roman" w:cs="Times New Roman"/>
          <w:sz w:val="24"/>
          <w:u w:val="single"/>
        </w:rPr>
      </w:pPr>
      <w:r>
        <w:rPr>
          <w:noProof/>
        </w:rPr>
        <w:lastRenderedPageBreak/>
        <w:drawing>
          <wp:inline distT="0" distB="0" distL="0" distR="0" wp14:anchorId="3730D9ED" wp14:editId="733D3418">
            <wp:extent cx="5619750" cy="3762375"/>
            <wp:effectExtent l="0" t="0" r="1905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91255" w:rsidRDefault="00591255" w:rsidP="00591255">
      <w:r>
        <w:t>Geography</w:t>
      </w:r>
    </w:p>
    <w:p w:rsidR="00591255" w:rsidRDefault="00591255" w:rsidP="00591255">
      <w:r>
        <w:t xml:space="preserve">Things to keep in mind (demographics summary): </w:t>
      </w:r>
    </w:p>
    <w:p w:rsidR="00591255" w:rsidRDefault="00591255" w:rsidP="00591255">
      <w:pPr>
        <w:pStyle w:val="ListParagraph"/>
        <w:numPr>
          <w:ilvl w:val="0"/>
          <w:numId w:val="9"/>
        </w:numPr>
      </w:pPr>
      <w:r>
        <w:t>52 (63%) of those surveyed were college aged (18 – 22), 18 (22%) were relatively new to full work force (22 – 27), and only 13 (16%) were above the age of 27</w:t>
      </w:r>
    </w:p>
    <w:p w:rsidR="00591255" w:rsidRDefault="00591255" w:rsidP="00591255">
      <w:pPr>
        <w:pStyle w:val="ListParagraph"/>
        <w:numPr>
          <w:ilvl w:val="0"/>
          <w:numId w:val="9"/>
        </w:numPr>
      </w:pPr>
      <w:r>
        <w:t>Close to even split between males and females</w:t>
      </w:r>
    </w:p>
    <w:p w:rsidR="00591255" w:rsidRDefault="00591255" w:rsidP="00591255">
      <w:pPr>
        <w:pStyle w:val="ListParagraph"/>
        <w:numPr>
          <w:ilvl w:val="0"/>
          <w:numId w:val="9"/>
        </w:numPr>
      </w:pPr>
      <w:r>
        <w:t>Wide variety of fields though Arts/Design/Entertainment, Business and Financials, and Other were the most popular categories</w:t>
      </w:r>
    </w:p>
    <w:p w:rsidR="00591255" w:rsidRDefault="00591255" w:rsidP="00591255">
      <w:pPr>
        <w:pStyle w:val="ListParagraph"/>
        <w:numPr>
          <w:ilvl w:val="0"/>
          <w:numId w:val="9"/>
        </w:numPr>
      </w:pPr>
      <w:r>
        <w:t>Predominantly white demographics (65%) but also relatively large proportion of Asian/Pacific Islander participants (28%)</w:t>
      </w:r>
    </w:p>
    <w:p w:rsidR="00591255" w:rsidRDefault="00591255" w:rsidP="00591255">
      <w:pPr>
        <w:pStyle w:val="ListParagraph"/>
        <w:numPr>
          <w:ilvl w:val="0"/>
          <w:numId w:val="9"/>
        </w:numPr>
      </w:pPr>
      <w:r>
        <w:t xml:space="preserve">Overwhelming results indicating most participants have no children. </w:t>
      </w:r>
    </w:p>
    <w:p w:rsidR="00591255" w:rsidRDefault="00591255" w:rsidP="00591255">
      <w:r>
        <w:t>Main Take-Aways from Geography Portion of Survey:</w:t>
      </w:r>
    </w:p>
    <w:p w:rsidR="00591255" w:rsidRDefault="00591255" w:rsidP="00591255">
      <w:pPr>
        <w:pStyle w:val="ListParagraph"/>
        <w:numPr>
          <w:ilvl w:val="0"/>
          <w:numId w:val="9"/>
        </w:numPr>
      </w:pPr>
      <w:r>
        <w:t>63.8% of those surveyed are located in some form of Downtown, 27.6% were in some form of suburb</w:t>
      </w:r>
    </w:p>
    <w:p w:rsidR="00591255" w:rsidRDefault="00591255" w:rsidP="00591255">
      <w:pPr>
        <w:pStyle w:val="ListParagraph"/>
        <w:numPr>
          <w:ilvl w:val="0"/>
          <w:numId w:val="9"/>
        </w:numPr>
      </w:pPr>
      <w:r>
        <w:t>Diversion from what type of building arrangement people actually work in versus their preferences indicates slight preferences in wholly owned buildings and working from home over what their current arrangement is</w:t>
      </w:r>
    </w:p>
    <w:p w:rsidR="00591255" w:rsidRDefault="00591255" w:rsidP="00591255">
      <w:pPr>
        <w:pStyle w:val="ListParagraph"/>
        <w:numPr>
          <w:ilvl w:val="0"/>
          <w:numId w:val="9"/>
        </w:numPr>
      </w:pPr>
      <w:r>
        <w:t>84.4% of people either drive or take public transport to work, with 69.9% of this being people who drive to work</w:t>
      </w:r>
    </w:p>
    <w:p w:rsidR="00591255" w:rsidRDefault="00591255" w:rsidP="00591255">
      <w:pPr>
        <w:pStyle w:val="ListParagraph"/>
        <w:numPr>
          <w:ilvl w:val="0"/>
          <w:numId w:val="9"/>
        </w:numPr>
      </w:pPr>
      <w:r>
        <w:t>Diversion from what type of transportation is being used versus what is preferred shows the following: 26.5% of people would like to be able to drive, 21.7% of people would like to be able to walk or bike, and 14.5% of people would like to take public transportation</w:t>
      </w:r>
    </w:p>
    <w:p w:rsidR="00591255" w:rsidRDefault="00591255" w:rsidP="00591255">
      <w:pPr>
        <w:pStyle w:val="ListParagraph"/>
        <w:numPr>
          <w:ilvl w:val="0"/>
          <w:numId w:val="9"/>
        </w:numPr>
      </w:pPr>
      <w:r>
        <w:t xml:space="preserve">Most people spend less than 30 minutes getting to work. The most common answer for actual commute time was 15 minutes. The second was 10. </w:t>
      </w:r>
    </w:p>
    <w:p w:rsidR="00591255" w:rsidRDefault="00591255" w:rsidP="00591255">
      <w:pPr>
        <w:pStyle w:val="ListParagraph"/>
        <w:numPr>
          <w:ilvl w:val="0"/>
          <w:numId w:val="9"/>
        </w:numPr>
      </w:pPr>
      <w:r>
        <w:t xml:space="preserve">Predominantly, people would not commute more than 45 minutes for work. The most common answer was a 30 minute max commute time. The second was a tie between 20 and 45. </w:t>
      </w:r>
    </w:p>
    <w:p w:rsidR="00591255" w:rsidRDefault="00591255" w:rsidP="00591255">
      <w:r>
        <w:t>Brief Interesting Connections</w:t>
      </w:r>
    </w:p>
    <w:p w:rsidR="00591255" w:rsidRDefault="00591255" w:rsidP="00591255">
      <w:pPr>
        <w:pStyle w:val="ListParagraph"/>
        <w:numPr>
          <w:ilvl w:val="0"/>
          <w:numId w:val="9"/>
        </w:numPr>
      </w:pPr>
      <w:r>
        <w:t>A large majority of young people have chosen to work downtown or close to downtown</w:t>
      </w:r>
    </w:p>
    <w:p w:rsidR="00591255" w:rsidRDefault="00591255" w:rsidP="00591255">
      <w:pPr>
        <w:pStyle w:val="ListParagraph"/>
        <w:numPr>
          <w:ilvl w:val="0"/>
          <w:numId w:val="9"/>
        </w:numPr>
      </w:pPr>
      <w:r>
        <w:t>Almost 70% are driving, parking becomes relevant and critical</w:t>
      </w:r>
    </w:p>
    <w:p w:rsidR="00591255" w:rsidRDefault="00591255" w:rsidP="00591255">
      <w:pPr>
        <w:pStyle w:val="ListParagraph"/>
        <w:numPr>
          <w:ilvl w:val="0"/>
          <w:numId w:val="9"/>
        </w:numPr>
      </w:pPr>
      <w:r>
        <w:t>Overwhelming majority would not commute more than 45 minutes. If FHLB moves it needs to stay within the close suburbs.</w:t>
      </w:r>
    </w:p>
    <w:p w:rsidR="00591255" w:rsidRDefault="00591255" w:rsidP="00591255"/>
    <w:p w:rsidR="00591255" w:rsidRDefault="00591255" w:rsidP="00591255">
      <w:r>
        <w:rPr>
          <w:noProof/>
        </w:rPr>
        <w:drawing>
          <wp:inline distT="0" distB="0" distL="0" distR="0">
            <wp:extent cx="5947410" cy="27590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2759075"/>
                    </a:xfrm>
                    <a:prstGeom prst="rect">
                      <a:avLst/>
                    </a:prstGeom>
                    <a:noFill/>
                    <a:ln>
                      <a:noFill/>
                    </a:ln>
                  </pic:spPr>
                </pic:pic>
              </a:graphicData>
            </a:graphic>
          </wp:inline>
        </w:drawing>
      </w:r>
    </w:p>
    <w:p w:rsidR="00591255" w:rsidRDefault="00591255" w:rsidP="00591255"/>
    <w:p w:rsidR="00591255" w:rsidRDefault="00591255" w:rsidP="00591255">
      <w:r>
        <w:rPr>
          <w:noProof/>
        </w:rPr>
        <w:drawing>
          <wp:inline distT="0" distB="0" distL="0" distR="0">
            <wp:extent cx="5947410" cy="2655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655570"/>
                    </a:xfrm>
                    <a:prstGeom prst="rect">
                      <a:avLst/>
                    </a:prstGeom>
                    <a:noFill/>
                    <a:ln>
                      <a:noFill/>
                    </a:ln>
                  </pic:spPr>
                </pic:pic>
              </a:graphicData>
            </a:graphic>
          </wp:inline>
        </w:drawing>
      </w:r>
    </w:p>
    <w:p w:rsidR="00591255" w:rsidRDefault="00591255" w:rsidP="00591255">
      <w:r>
        <w:rPr>
          <w:noProof/>
        </w:rPr>
        <w:drawing>
          <wp:inline distT="0" distB="0" distL="0" distR="0">
            <wp:extent cx="594741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2886075"/>
                    </a:xfrm>
                    <a:prstGeom prst="rect">
                      <a:avLst/>
                    </a:prstGeom>
                    <a:noFill/>
                    <a:ln>
                      <a:noFill/>
                    </a:ln>
                  </pic:spPr>
                </pic:pic>
              </a:graphicData>
            </a:graphic>
          </wp:inline>
        </w:drawing>
      </w:r>
    </w:p>
    <w:p w:rsidR="00591255" w:rsidRDefault="00591255" w:rsidP="00591255"/>
    <w:p w:rsidR="00591255" w:rsidRDefault="00591255" w:rsidP="00591255">
      <w:r>
        <w:rPr>
          <w:noProof/>
        </w:rPr>
        <w:drawing>
          <wp:inline distT="0" distB="0" distL="0" distR="0">
            <wp:extent cx="5947410" cy="2393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2393315"/>
                    </a:xfrm>
                    <a:prstGeom prst="rect">
                      <a:avLst/>
                    </a:prstGeom>
                    <a:noFill/>
                    <a:ln>
                      <a:noFill/>
                    </a:ln>
                  </pic:spPr>
                </pic:pic>
              </a:graphicData>
            </a:graphic>
          </wp:inline>
        </w:drawing>
      </w:r>
    </w:p>
    <w:p w:rsidR="00591255" w:rsidRDefault="00591255" w:rsidP="00591255"/>
    <w:p w:rsidR="00591255" w:rsidRDefault="00591255" w:rsidP="00591255">
      <w:r>
        <w:rPr>
          <w:noProof/>
        </w:rPr>
        <w:drawing>
          <wp:inline distT="0" distB="0" distL="0" distR="0">
            <wp:extent cx="5947410" cy="261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2616200"/>
                    </a:xfrm>
                    <a:prstGeom prst="rect">
                      <a:avLst/>
                    </a:prstGeom>
                    <a:noFill/>
                    <a:ln>
                      <a:noFill/>
                    </a:ln>
                  </pic:spPr>
                </pic:pic>
              </a:graphicData>
            </a:graphic>
          </wp:inline>
        </w:drawing>
      </w:r>
    </w:p>
    <w:p w:rsidR="00591255" w:rsidRDefault="00591255" w:rsidP="00591255">
      <w:bookmarkStart w:id="0" w:name="_GoBack"/>
      <w:bookmarkEnd w:id="0"/>
      <w:r>
        <w:rPr>
          <w:noProof/>
        </w:rPr>
        <w:drawing>
          <wp:inline distT="0" distB="0" distL="0" distR="0">
            <wp:extent cx="5947410" cy="3808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808730"/>
                    </a:xfrm>
                    <a:prstGeom prst="rect">
                      <a:avLst/>
                    </a:prstGeom>
                    <a:noFill/>
                    <a:ln>
                      <a:noFill/>
                    </a:ln>
                  </pic:spPr>
                </pic:pic>
              </a:graphicData>
            </a:graphic>
          </wp:inline>
        </w:drawing>
      </w:r>
    </w:p>
    <w:p w:rsidR="00591255" w:rsidRDefault="00591255" w:rsidP="00591255"/>
    <w:p w:rsidR="00591255" w:rsidRPr="00591255" w:rsidRDefault="00591255" w:rsidP="00591255">
      <w:pPr>
        <w:pStyle w:val="ListParagraph"/>
        <w:spacing w:after="0" w:line="240" w:lineRule="auto"/>
        <w:rPr>
          <w:rFonts w:ascii="Times New Roman" w:hAnsi="Times New Roman" w:cs="Times New Roman"/>
          <w:sz w:val="24"/>
          <w:u w:val="single"/>
        </w:rPr>
      </w:pPr>
      <w:r>
        <w:rPr>
          <w:noProof/>
        </w:rPr>
        <w:drawing>
          <wp:inline distT="0" distB="0" distL="0" distR="0" wp14:anchorId="00DDF8CC" wp14:editId="7EA3DC34">
            <wp:extent cx="5943600" cy="3790315"/>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5943600" cy="3790315"/>
                    </a:xfrm>
                    <a:prstGeom prst="rect">
                      <a:avLst/>
                    </a:prstGeom>
                  </pic:spPr>
                </pic:pic>
              </a:graphicData>
            </a:graphic>
          </wp:inline>
        </w:drawing>
      </w:r>
    </w:p>
    <w:p w:rsidR="00591255" w:rsidRDefault="00B200C7" w:rsidP="00591255">
      <w:r>
        <w:rPr>
          <w:noProof/>
        </w:rPr>
        <w:drawing>
          <wp:inline distT="0" distB="0" distL="0" distR="0" wp14:anchorId="0FA58A5B" wp14:editId="34153A13">
            <wp:extent cx="5943600" cy="1807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07210"/>
                    </a:xfrm>
                    <a:prstGeom prst="rect">
                      <a:avLst/>
                    </a:prstGeom>
                  </pic:spPr>
                </pic:pic>
              </a:graphicData>
            </a:graphic>
          </wp:inline>
        </w:drawing>
      </w:r>
    </w:p>
    <w:p w:rsidR="00B200C7" w:rsidRDefault="00B200C7" w:rsidP="00591255">
      <w:r>
        <w:rPr>
          <w:noProof/>
        </w:rPr>
        <w:drawing>
          <wp:inline distT="0" distB="0" distL="0" distR="0" wp14:anchorId="1A561A08" wp14:editId="7996AFE8">
            <wp:extent cx="5943600" cy="1749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749425"/>
                    </a:xfrm>
                    <a:prstGeom prst="rect">
                      <a:avLst/>
                    </a:prstGeom>
                  </pic:spPr>
                </pic:pic>
              </a:graphicData>
            </a:graphic>
          </wp:inline>
        </w:drawing>
      </w:r>
    </w:p>
    <w:p w:rsidR="00B200C7" w:rsidRDefault="00B200C7" w:rsidP="00591255">
      <w:r>
        <w:rPr>
          <w:noProof/>
        </w:rPr>
        <w:drawing>
          <wp:inline distT="0" distB="0" distL="0" distR="0" wp14:anchorId="0B5EBE64" wp14:editId="30DD9D05">
            <wp:extent cx="5943600" cy="276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768600"/>
                    </a:xfrm>
                    <a:prstGeom prst="rect">
                      <a:avLst/>
                    </a:prstGeom>
                  </pic:spPr>
                </pic:pic>
              </a:graphicData>
            </a:graphic>
          </wp:inline>
        </w:drawing>
      </w:r>
    </w:p>
    <w:p w:rsidR="00B200C7" w:rsidRDefault="00B200C7" w:rsidP="00591255">
      <w:r>
        <w:rPr>
          <w:noProof/>
        </w:rPr>
        <w:drawing>
          <wp:inline distT="0" distB="0" distL="0" distR="0" wp14:anchorId="38304A0B" wp14:editId="672F06F8">
            <wp:extent cx="5943600" cy="2682875"/>
            <wp:effectExtent l="0" t="0" r="19050" b="222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200C7" w:rsidRDefault="00B200C7" w:rsidP="00591255">
      <w:r>
        <w:rPr>
          <w:noProof/>
        </w:rPr>
        <w:drawing>
          <wp:inline distT="0" distB="0" distL="0" distR="0" wp14:anchorId="6CD15ACA" wp14:editId="4F303BD1">
            <wp:extent cx="5943600" cy="2682875"/>
            <wp:effectExtent l="0" t="0" r="19050" b="222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200C7" w:rsidRDefault="00B200C7" w:rsidP="00591255">
      <w:r>
        <w:rPr>
          <w:noProof/>
        </w:rPr>
        <w:drawing>
          <wp:inline distT="0" distB="0" distL="0" distR="0" wp14:anchorId="625CB1CD" wp14:editId="441041B4">
            <wp:extent cx="5943600" cy="2679065"/>
            <wp:effectExtent l="0" t="0" r="19050" b="2603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200C7" w:rsidRDefault="00B200C7" w:rsidP="00591255">
      <w:r>
        <w:rPr>
          <w:noProof/>
        </w:rPr>
        <w:drawing>
          <wp:inline distT="0" distB="0" distL="0" distR="0" wp14:anchorId="63A1DB2A" wp14:editId="120EC1F1">
            <wp:extent cx="5943600" cy="3583940"/>
            <wp:effectExtent l="0" t="0" r="19050" b="165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200C7" w:rsidRDefault="00B200C7" w:rsidP="00591255">
      <w:r>
        <w:rPr>
          <w:noProof/>
        </w:rPr>
        <w:drawing>
          <wp:inline distT="0" distB="0" distL="0" distR="0" wp14:anchorId="10B268D4" wp14:editId="7442B810">
            <wp:extent cx="5943600" cy="2682875"/>
            <wp:effectExtent l="0" t="0" r="19050" b="222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A7977" w:rsidRDefault="00AA7977" w:rsidP="00591255">
      <w:r>
        <w:t>Focus Groups</w:t>
      </w:r>
    </w:p>
    <w:p w:rsidR="00AA7977" w:rsidRDefault="00AA7977" w:rsidP="00591255">
      <w:r>
        <w:rPr>
          <w:noProof/>
        </w:rPr>
        <w:drawing>
          <wp:inline distT="0" distB="0" distL="0" distR="0" wp14:anchorId="66A4B854" wp14:editId="607755CA">
            <wp:extent cx="5943600" cy="5321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532130"/>
                    </a:xfrm>
                    <a:prstGeom prst="rect">
                      <a:avLst/>
                    </a:prstGeom>
                  </pic:spPr>
                </pic:pic>
              </a:graphicData>
            </a:graphic>
          </wp:inline>
        </w:drawing>
      </w:r>
    </w:p>
    <w:sectPr w:rsidR="00AA7977">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977" w:rsidRDefault="00AA7977" w:rsidP="00AA7977">
      <w:pPr>
        <w:spacing w:after="0" w:line="240" w:lineRule="auto"/>
      </w:pPr>
      <w:r>
        <w:separator/>
      </w:r>
    </w:p>
  </w:endnote>
  <w:endnote w:type="continuationSeparator" w:id="0">
    <w:p w:rsidR="00AA7977" w:rsidRDefault="00AA7977" w:rsidP="00AA7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977" w:rsidRDefault="00AA7977" w:rsidP="00AA7977">
      <w:pPr>
        <w:spacing w:after="0" w:line="240" w:lineRule="auto"/>
      </w:pPr>
      <w:r>
        <w:separator/>
      </w:r>
    </w:p>
  </w:footnote>
  <w:footnote w:type="continuationSeparator" w:id="0">
    <w:p w:rsidR="00AA7977" w:rsidRDefault="00AA7977" w:rsidP="00AA79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387909"/>
      <w:docPartObj>
        <w:docPartGallery w:val="Page Numbers (Top of Page)"/>
        <w:docPartUnique/>
      </w:docPartObj>
    </w:sdtPr>
    <w:sdtEndPr>
      <w:rPr>
        <w:noProof/>
      </w:rPr>
    </w:sdtEndPr>
    <w:sdtContent>
      <w:p w:rsidR="00AA7977" w:rsidRDefault="00AA7977">
        <w:pPr>
          <w:pStyle w:val="Header"/>
          <w:jc w:val="right"/>
        </w:pPr>
        <w:r>
          <w:fldChar w:fldCharType="begin"/>
        </w:r>
        <w:r>
          <w:instrText xml:space="preserve"> PAGE   \* MERGEFORMAT </w:instrText>
        </w:r>
        <w:r>
          <w:fldChar w:fldCharType="separate"/>
        </w:r>
        <w:r w:rsidR="00FC5CC9">
          <w:rPr>
            <w:noProof/>
          </w:rPr>
          <w:t>1</w:t>
        </w:r>
        <w:r>
          <w:rPr>
            <w:noProof/>
          </w:rPr>
          <w:fldChar w:fldCharType="end"/>
        </w:r>
      </w:p>
    </w:sdtContent>
  </w:sdt>
  <w:p w:rsidR="00AA7977" w:rsidRDefault="00AA7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6FB0"/>
    <w:multiLevelType w:val="hybridMultilevel"/>
    <w:tmpl w:val="E334E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9E601D"/>
    <w:multiLevelType w:val="hybridMultilevel"/>
    <w:tmpl w:val="8014E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63519C"/>
    <w:multiLevelType w:val="hybridMultilevel"/>
    <w:tmpl w:val="4712E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325FB7"/>
    <w:multiLevelType w:val="hybridMultilevel"/>
    <w:tmpl w:val="64FA6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BDD1908"/>
    <w:multiLevelType w:val="hybridMultilevel"/>
    <w:tmpl w:val="E6D29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F192932"/>
    <w:multiLevelType w:val="hybridMultilevel"/>
    <w:tmpl w:val="E7E83874"/>
    <w:lvl w:ilvl="0" w:tplc="10025C6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1E1734E"/>
    <w:multiLevelType w:val="hybridMultilevel"/>
    <w:tmpl w:val="B142E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3FE0523"/>
    <w:multiLevelType w:val="hybridMultilevel"/>
    <w:tmpl w:val="7A9C2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2393495"/>
    <w:multiLevelType w:val="hybridMultilevel"/>
    <w:tmpl w:val="D0F4C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8"/>
  </w:num>
  <w:num w:numId="5">
    <w:abstractNumId w:val="4"/>
  </w:num>
  <w:num w:numId="6">
    <w:abstractNumId w:val="1"/>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hideSpellingErrors/>
  <w:hideGrammaticalErrors/>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255"/>
    <w:rsid w:val="001F6C55"/>
    <w:rsid w:val="00392324"/>
    <w:rsid w:val="00591255"/>
    <w:rsid w:val="006C2B7B"/>
    <w:rsid w:val="0076323F"/>
    <w:rsid w:val="00AA7977"/>
    <w:rsid w:val="00B200C7"/>
    <w:rsid w:val="00FC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1B35D-BB9E-469C-9462-9C83C43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255"/>
    <w:pPr>
      <w:spacing w:after="160" w:line="256" w:lineRule="auto"/>
      <w:ind w:left="720"/>
      <w:contextualSpacing/>
    </w:pPr>
  </w:style>
  <w:style w:type="paragraph" w:styleId="BalloonText">
    <w:name w:val="Balloon Text"/>
    <w:basedOn w:val="Normal"/>
    <w:link w:val="BalloonTextChar"/>
    <w:uiPriority w:val="99"/>
    <w:semiHidden/>
    <w:unhideWhenUsed/>
    <w:rsid w:val="00591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255"/>
    <w:rPr>
      <w:rFonts w:ascii="Tahoma" w:hAnsi="Tahoma" w:cs="Tahoma"/>
      <w:sz w:val="16"/>
      <w:szCs w:val="16"/>
    </w:rPr>
  </w:style>
  <w:style w:type="paragraph" w:styleId="Header">
    <w:name w:val="header"/>
    <w:basedOn w:val="Normal"/>
    <w:link w:val="HeaderChar"/>
    <w:uiPriority w:val="99"/>
    <w:unhideWhenUsed/>
    <w:rsid w:val="00AA7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977"/>
  </w:style>
  <w:style w:type="paragraph" w:styleId="Footer">
    <w:name w:val="footer"/>
    <w:basedOn w:val="Normal"/>
    <w:link w:val="FooterChar"/>
    <w:uiPriority w:val="99"/>
    <w:unhideWhenUsed/>
    <w:rsid w:val="00AA7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32118">
      <w:bodyDiv w:val="1"/>
      <w:marLeft w:val="0"/>
      <w:marRight w:val="0"/>
      <w:marTop w:val="0"/>
      <w:marBottom w:val="0"/>
      <w:divBdr>
        <w:top w:val="none" w:sz="0" w:space="0" w:color="auto"/>
        <w:left w:val="none" w:sz="0" w:space="0" w:color="auto"/>
        <w:bottom w:val="none" w:sz="0" w:space="0" w:color="auto"/>
        <w:right w:val="none" w:sz="0" w:space="0" w:color="auto"/>
      </w:divBdr>
    </w:div>
    <w:div w:id="1186600526">
      <w:bodyDiv w:val="1"/>
      <w:marLeft w:val="0"/>
      <w:marRight w:val="0"/>
      <w:marTop w:val="0"/>
      <w:marBottom w:val="0"/>
      <w:divBdr>
        <w:top w:val="none" w:sz="0" w:space="0" w:color="auto"/>
        <w:left w:val="none" w:sz="0" w:space="0" w:color="auto"/>
        <w:bottom w:val="none" w:sz="0" w:space="0" w:color="auto"/>
        <w:right w:val="none" w:sz="0" w:space="0" w:color="auto"/>
      </w:divBdr>
    </w:div>
    <w:div w:id="144148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chart" Target="charts/chart8.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chart" Target="charts/chart6.xml"/><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oleObject" Target="file:///\\OAK\SHARDATA\Intern%20Project%202016\Statistics\Survey%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OAK\SHARDATA\Intern%20Project%202016\Statistics\Survey%20Analy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OAK\SHARDATA\Intern%20Project%202016\Statistics\Survey%20Analy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OAK\SHARDATA\Intern%20Project%202016\Statistics\Survey%20Analy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OAK\SHARDATA\Intern%20Project%202016\Statistics\Survey%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dPt>
          <c:dPt>
            <c:idx val="6"/>
            <c:bubble3D val="0"/>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dPt>
          <c:dPt>
            <c:idx val="7"/>
            <c:bubble3D val="0"/>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dPt>
          <c:dPt>
            <c:idx val="8"/>
            <c:bubble3D val="0"/>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dPt>
          <c:dPt>
            <c:idx val="9"/>
            <c:bubble3D val="0"/>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dPt>
          <c:dPt>
            <c:idx val="10"/>
            <c:bubble3D val="0"/>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c:spPr>
          </c:dPt>
          <c:dPt>
            <c:idx val="11"/>
            <c:bubble3D val="0"/>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c:spPr>
          </c:dPt>
          <c:dPt>
            <c:idx val="12"/>
            <c:bubble3D val="0"/>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c:spPr>
          </c:dPt>
          <c:dPt>
            <c:idx val="13"/>
            <c:bubble3D val="0"/>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c:spPr>
          </c:dPt>
          <c:dPt>
            <c:idx val="14"/>
            <c:bubble3D val="0"/>
            <c:spPr>
              <a:gradFill rotWithShape="1">
                <a:gsLst>
                  <a:gs pos="0">
                    <a:schemeClr val="accent3">
                      <a:lumMod val="80000"/>
                      <a:lumOff val="20000"/>
                      <a:lumMod val="110000"/>
                      <a:satMod val="105000"/>
                      <a:tint val="67000"/>
                    </a:schemeClr>
                  </a:gs>
                  <a:gs pos="50000">
                    <a:schemeClr val="accent3">
                      <a:lumMod val="80000"/>
                      <a:lumOff val="20000"/>
                      <a:lumMod val="105000"/>
                      <a:satMod val="103000"/>
                      <a:tint val="73000"/>
                    </a:schemeClr>
                  </a:gs>
                  <a:gs pos="100000">
                    <a:schemeClr val="accent3">
                      <a:lumMod val="80000"/>
                      <a:lumOff val="20000"/>
                      <a:lumMod val="105000"/>
                      <a:satMod val="109000"/>
                      <a:tint val="81000"/>
                    </a:schemeClr>
                  </a:gs>
                </a:gsLst>
                <a:lin ang="5400000" scaled="0"/>
              </a:gradFill>
              <a:ln w="9525" cap="flat" cmpd="sng" algn="ctr">
                <a:solidFill>
                  <a:schemeClr val="accent3">
                    <a:lumMod val="80000"/>
                    <a:lumOff val="20000"/>
                    <a:shade val="95000"/>
                  </a:schemeClr>
                </a:solidFill>
                <a:round/>
              </a:ln>
              <a:effectLst/>
            </c:spPr>
          </c:dPt>
          <c:dPt>
            <c:idx val="15"/>
            <c:bubble3D val="0"/>
            <c:spPr>
              <a:gradFill rotWithShape="1">
                <a:gsLst>
                  <a:gs pos="0">
                    <a:schemeClr val="accent4">
                      <a:lumMod val="80000"/>
                      <a:lumOff val="20000"/>
                      <a:lumMod val="110000"/>
                      <a:satMod val="105000"/>
                      <a:tint val="67000"/>
                    </a:schemeClr>
                  </a:gs>
                  <a:gs pos="50000">
                    <a:schemeClr val="accent4">
                      <a:lumMod val="80000"/>
                      <a:lumOff val="20000"/>
                      <a:lumMod val="105000"/>
                      <a:satMod val="103000"/>
                      <a:tint val="73000"/>
                    </a:schemeClr>
                  </a:gs>
                  <a:gs pos="100000">
                    <a:schemeClr val="accent4">
                      <a:lumMod val="80000"/>
                      <a:lumOff val="20000"/>
                      <a:lumMod val="105000"/>
                      <a:satMod val="109000"/>
                      <a:tint val="81000"/>
                    </a:schemeClr>
                  </a:gs>
                </a:gsLst>
                <a:lin ang="5400000" scaled="0"/>
              </a:gradFill>
              <a:ln w="9525" cap="flat" cmpd="sng" algn="ctr">
                <a:solidFill>
                  <a:schemeClr val="accent4">
                    <a:lumMod val="80000"/>
                    <a:lumOff val="20000"/>
                    <a:shade val="95000"/>
                  </a:schemeClr>
                </a:solidFill>
                <a:round/>
              </a:ln>
              <a:effectLst/>
            </c:spPr>
          </c:dPt>
          <c:dPt>
            <c:idx val="16"/>
            <c:bubble3D val="0"/>
            <c:spPr>
              <a:gradFill rotWithShape="1">
                <a:gsLst>
                  <a:gs pos="0">
                    <a:schemeClr val="accent5">
                      <a:lumMod val="80000"/>
                      <a:lumOff val="20000"/>
                      <a:lumMod val="110000"/>
                      <a:satMod val="105000"/>
                      <a:tint val="67000"/>
                    </a:schemeClr>
                  </a:gs>
                  <a:gs pos="50000">
                    <a:schemeClr val="accent5">
                      <a:lumMod val="80000"/>
                      <a:lumOff val="20000"/>
                      <a:lumMod val="105000"/>
                      <a:satMod val="103000"/>
                      <a:tint val="73000"/>
                    </a:schemeClr>
                  </a:gs>
                  <a:gs pos="100000">
                    <a:schemeClr val="accent5">
                      <a:lumMod val="80000"/>
                      <a:lumOff val="20000"/>
                      <a:lumMod val="105000"/>
                      <a:satMod val="109000"/>
                      <a:tint val="81000"/>
                    </a:schemeClr>
                  </a:gs>
                </a:gsLst>
                <a:lin ang="5400000" scaled="0"/>
              </a:gradFill>
              <a:ln w="9525" cap="flat" cmpd="sng" algn="ctr">
                <a:solidFill>
                  <a:schemeClr val="accent5">
                    <a:lumMod val="80000"/>
                    <a:lumOff val="20000"/>
                    <a:shade val="95000"/>
                  </a:schemeClr>
                </a:solidFill>
                <a:round/>
              </a:ln>
              <a:effectLst/>
            </c:spPr>
          </c:dPt>
          <c:dPt>
            <c:idx val="17"/>
            <c:bubble3D val="0"/>
            <c:spPr>
              <a:gradFill rotWithShape="1">
                <a:gsLst>
                  <a:gs pos="0">
                    <a:schemeClr val="accent6">
                      <a:lumMod val="80000"/>
                      <a:lumOff val="20000"/>
                      <a:lumMod val="110000"/>
                      <a:satMod val="105000"/>
                      <a:tint val="67000"/>
                    </a:schemeClr>
                  </a:gs>
                  <a:gs pos="50000">
                    <a:schemeClr val="accent6">
                      <a:lumMod val="80000"/>
                      <a:lumOff val="20000"/>
                      <a:lumMod val="105000"/>
                      <a:satMod val="103000"/>
                      <a:tint val="73000"/>
                    </a:schemeClr>
                  </a:gs>
                  <a:gs pos="100000">
                    <a:schemeClr val="accent6">
                      <a:lumMod val="80000"/>
                      <a:lumOff val="20000"/>
                      <a:lumMod val="105000"/>
                      <a:satMod val="109000"/>
                      <a:tint val="81000"/>
                    </a:schemeClr>
                  </a:gs>
                </a:gsLst>
                <a:lin ang="5400000" scaled="0"/>
              </a:gradFill>
              <a:ln w="9525" cap="flat" cmpd="sng" algn="ctr">
                <a:solidFill>
                  <a:schemeClr val="accent6">
                    <a:lumMod val="80000"/>
                    <a:lumOff val="20000"/>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15:layout/>
              </c:ext>
            </c:extLst>
          </c:dLbls>
          <c:cat>
            <c:strRef>
              <c:f>Sheet1!$B$1:$S$1</c:f>
              <c:strCache>
                <c:ptCount val="18"/>
                <c:pt idx="0">
                  <c:v>IT</c:v>
                </c:pt>
                <c:pt idx="1">
                  <c:v>HR</c:v>
                </c:pt>
                <c:pt idx="2">
                  <c:v>Marketing</c:v>
                </c:pt>
                <c:pt idx="3">
                  <c:v>Accounting</c:v>
                </c:pt>
                <c:pt idx="4">
                  <c:v>Sales</c:v>
                </c:pt>
                <c:pt idx="5">
                  <c:v>Multiple</c:v>
                </c:pt>
                <c:pt idx="6">
                  <c:v>All Departments</c:v>
                </c:pt>
                <c:pt idx="7">
                  <c:v>Finance</c:v>
                </c:pt>
                <c:pt idx="8">
                  <c:v>Admin.</c:v>
                </c:pt>
                <c:pt idx="9">
                  <c:v>Business Entities</c:v>
                </c:pt>
                <c:pt idx="10">
                  <c:v>None</c:v>
                </c:pt>
                <c:pt idx="11">
                  <c:v>Treasury</c:v>
                </c:pt>
                <c:pt idx="12">
                  <c:v>Credit Risk</c:v>
                </c:pt>
                <c:pt idx="13">
                  <c:v>Internal Audit</c:v>
                </c:pt>
                <c:pt idx="14">
                  <c:v>Management</c:v>
                </c:pt>
                <c:pt idx="15">
                  <c:v>Engineers</c:v>
                </c:pt>
                <c:pt idx="16">
                  <c:v>Legal</c:v>
                </c:pt>
                <c:pt idx="17">
                  <c:v>Members Strategies</c:v>
                </c:pt>
              </c:strCache>
            </c:strRef>
          </c:cat>
          <c:val>
            <c:numRef>
              <c:f>Sheet1!$B$2:$S$2</c:f>
              <c:numCache>
                <c:formatCode>0.00%</c:formatCode>
                <c:ptCount val="18"/>
                <c:pt idx="0">
                  <c:v>8.1600000000000006E-2</c:v>
                </c:pt>
                <c:pt idx="1">
                  <c:v>0.10199999999999999</c:v>
                </c:pt>
                <c:pt idx="2">
                  <c:v>0.12239999999999999</c:v>
                </c:pt>
                <c:pt idx="3">
                  <c:v>5.0999999999999997E-2</c:v>
                </c:pt>
                <c:pt idx="4">
                  <c:v>2.0400000000000001E-2</c:v>
                </c:pt>
                <c:pt idx="5">
                  <c:v>6.1199999999999997E-2</c:v>
                </c:pt>
                <c:pt idx="6">
                  <c:v>2.0400000000000001E-2</c:v>
                </c:pt>
                <c:pt idx="7">
                  <c:v>7.1400000000000005E-2</c:v>
                </c:pt>
                <c:pt idx="8">
                  <c:v>5.0999999999999997E-2</c:v>
                </c:pt>
                <c:pt idx="9">
                  <c:v>5.0999999999999997E-2</c:v>
                </c:pt>
                <c:pt idx="10">
                  <c:v>0.21429999999999999</c:v>
                </c:pt>
                <c:pt idx="11">
                  <c:v>3.0599999999999999E-2</c:v>
                </c:pt>
                <c:pt idx="12">
                  <c:v>1.0200000000000001E-2</c:v>
                </c:pt>
                <c:pt idx="13">
                  <c:v>4.0800000000000003E-2</c:v>
                </c:pt>
                <c:pt idx="14">
                  <c:v>3.0599999999999999E-2</c:v>
                </c:pt>
                <c:pt idx="15">
                  <c:v>2.0400000000000001E-2</c:v>
                </c:pt>
                <c:pt idx="16">
                  <c:v>1.0200000000000001E-2</c:v>
                </c:pt>
                <c:pt idx="17">
                  <c:v>1.0200000000000001E-2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15:layout/>
              </c:ext>
            </c:extLst>
          </c:dLbls>
          <c:cat>
            <c:strRef>
              <c:f>Sheet1!$D$1:$H$1</c:f>
              <c:strCache>
                <c:ptCount val="5"/>
                <c:pt idx="0">
                  <c:v>Production</c:v>
                </c:pt>
                <c:pt idx="1">
                  <c:v>Privacy</c:v>
                </c:pt>
                <c:pt idx="2">
                  <c:v>Collaboration</c:v>
                </c:pt>
                <c:pt idx="3">
                  <c:v>Depends on Dept.</c:v>
                </c:pt>
                <c:pt idx="4">
                  <c:v>Unsure Change Affect</c:v>
                </c:pt>
              </c:strCache>
            </c:strRef>
          </c:cat>
          <c:val>
            <c:numRef>
              <c:f>Sheet1!$D$2:$H$2</c:f>
              <c:numCache>
                <c:formatCode>0.00%</c:formatCode>
                <c:ptCount val="5"/>
                <c:pt idx="0">
                  <c:v>6.6699999999999995E-2</c:v>
                </c:pt>
                <c:pt idx="1">
                  <c:v>0.33329999999999999</c:v>
                </c:pt>
                <c:pt idx="2">
                  <c:v>0.33329999999999999</c:v>
                </c:pt>
                <c:pt idx="3">
                  <c:v>0.2</c:v>
                </c:pt>
                <c:pt idx="4">
                  <c:v>6.6699999999999995E-2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15:layout/>
              </c:ext>
            </c:extLst>
          </c:dLbls>
          <c:cat>
            <c:strRef>
              <c:f>Sheet1!$D$1:$H$1</c:f>
              <c:strCache>
                <c:ptCount val="5"/>
                <c:pt idx="0">
                  <c:v>Group Chats</c:v>
                </c:pt>
                <c:pt idx="1">
                  <c:v>More Talkative</c:v>
                </c:pt>
                <c:pt idx="2">
                  <c:v>"Open Door" Policy</c:v>
                </c:pt>
                <c:pt idx="3">
                  <c:v>Interaction Activities</c:v>
                </c:pt>
                <c:pt idx="4">
                  <c:v>Spec. Dept. Phones</c:v>
                </c:pt>
              </c:strCache>
            </c:strRef>
          </c:cat>
          <c:val>
            <c:numRef>
              <c:f>Sheet1!$D$2:$H$2</c:f>
              <c:numCache>
                <c:formatCode>0.00%</c:formatCode>
                <c:ptCount val="5"/>
                <c:pt idx="0">
                  <c:v>0.1053</c:v>
                </c:pt>
                <c:pt idx="1">
                  <c:v>0.1053</c:v>
                </c:pt>
                <c:pt idx="2">
                  <c:v>0.31580000000000003</c:v>
                </c:pt>
                <c:pt idx="3">
                  <c:v>0.36840000000000001</c:v>
                </c:pt>
                <c:pt idx="4">
                  <c:v>0.1053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15:layout/>
              </c:ext>
            </c:extLst>
          </c:dLbls>
          <c:cat>
            <c:strRef>
              <c:f>Sheet1!$D$1:$H$1</c:f>
              <c:strCache>
                <c:ptCount val="5"/>
                <c:pt idx="0">
                  <c:v>Space Limitation</c:v>
                </c:pt>
                <c:pt idx="1">
                  <c:v>Budget Contraints</c:v>
                </c:pt>
                <c:pt idx="2">
                  <c:v>Miscommunication</c:v>
                </c:pt>
                <c:pt idx="3">
                  <c:v>Privacy</c:v>
                </c:pt>
                <c:pt idx="4">
                  <c:v>Too Much Work, Not Enough People</c:v>
                </c:pt>
              </c:strCache>
            </c:strRef>
          </c:cat>
          <c:val>
            <c:numRef>
              <c:f>Sheet1!$D$2:$H$2</c:f>
              <c:numCache>
                <c:formatCode>0.00%</c:formatCode>
                <c:ptCount val="5"/>
                <c:pt idx="0">
                  <c:v>0.1875</c:v>
                </c:pt>
                <c:pt idx="1">
                  <c:v>0.125</c:v>
                </c:pt>
                <c:pt idx="2">
                  <c:v>0.4375</c:v>
                </c:pt>
                <c:pt idx="3">
                  <c:v>6.25E-2</c:v>
                </c:pt>
                <c:pt idx="4">
                  <c:v>0.1875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Life</a:t>
            </a:r>
            <a:r>
              <a:rPr lang="en-US" baseline="0"/>
              <a:t> Amenities</a:t>
            </a:r>
            <a:endParaRPr lang="en-US"/>
          </a:p>
        </c:rich>
      </c:tx>
      <c:layout/>
      <c:overlay val="0"/>
    </c:title>
    <c:autoTitleDeleted val="0"/>
    <c:plotArea>
      <c:layout/>
      <c:barChart>
        <c:barDir val="bar"/>
        <c:grouping val="clustered"/>
        <c:varyColors val="0"/>
        <c:ser>
          <c:idx val="1"/>
          <c:order val="0"/>
          <c:tx>
            <c:v>Percent</c:v>
          </c:tx>
          <c:invertIfNegative val="0"/>
          <c:cat>
            <c:strRef>
              <c:f>Analysis!$A$28:$A$33</c:f>
              <c:strCache>
                <c:ptCount val="6"/>
                <c:pt idx="0">
                  <c:v>None of the above</c:v>
                </c:pt>
                <c:pt idx="1">
                  <c:v>In-house child development center</c:v>
                </c:pt>
                <c:pt idx="2">
                  <c:v>Daycare vouchers</c:v>
                </c:pt>
                <c:pt idx="3">
                  <c:v>Work sponsored fitness classes</c:v>
                </c:pt>
                <c:pt idx="4">
                  <c:v>Local fitness center vouchers</c:v>
                </c:pt>
                <c:pt idx="5">
                  <c:v>In-house fitness center</c:v>
                </c:pt>
              </c:strCache>
            </c:strRef>
          </c:cat>
          <c:val>
            <c:numRef>
              <c:f>Analysis!$C$28:$C$33</c:f>
              <c:numCache>
                <c:formatCode>General</c:formatCode>
                <c:ptCount val="6"/>
                <c:pt idx="0">
                  <c:v>9.8765432098765427E-2</c:v>
                </c:pt>
                <c:pt idx="1">
                  <c:v>0.22222222222222221</c:v>
                </c:pt>
                <c:pt idx="2">
                  <c:v>0.2839506172839506</c:v>
                </c:pt>
                <c:pt idx="3">
                  <c:v>0.34567901234567899</c:v>
                </c:pt>
                <c:pt idx="4">
                  <c:v>0.51851851851851849</c:v>
                </c:pt>
                <c:pt idx="5">
                  <c:v>0.5679012345679012</c:v>
                </c:pt>
              </c:numCache>
            </c:numRef>
          </c:val>
        </c:ser>
        <c:dLbls>
          <c:showLegendKey val="0"/>
          <c:showVal val="0"/>
          <c:showCatName val="0"/>
          <c:showSerName val="0"/>
          <c:showPercent val="0"/>
          <c:showBubbleSize val="0"/>
        </c:dLbls>
        <c:gapWidth val="150"/>
        <c:axId val="285587248"/>
        <c:axId val="127682336"/>
      </c:barChart>
      <c:catAx>
        <c:axId val="285587248"/>
        <c:scaling>
          <c:orientation val="minMax"/>
        </c:scaling>
        <c:delete val="0"/>
        <c:axPos val="l"/>
        <c:numFmt formatCode="General" sourceLinked="0"/>
        <c:majorTickMark val="out"/>
        <c:minorTickMark val="none"/>
        <c:tickLblPos val="nextTo"/>
        <c:crossAx val="127682336"/>
        <c:crosses val="autoZero"/>
        <c:auto val="1"/>
        <c:lblAlgn val="ctr"/>
        <c:lblOffset val="100"/>
        <c:noMultiLvlLbl val="0"/>
      </c:catAx>
      <c:valAx>
        <c:axId val="127682336"/>
        <c:scaling>
          <c:orientation val="minMax"/>
        </c:scaling>
        <c:delete val="0"/>
        <c:axPos val="b"/>
        <c:majorGridlines/>
        <c:numFmt formatCode="0%" sourceLinked="0"/>
        <c:majorTickMark val="out"/>
        <c:minorTickMark val="none"/>
        <c:tickLblPos val="nextTo"/>
        <c:crossAx val="28558724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1"/>
          <c:order val="0"/>
          <c:invertIfNegative val="0"/>
          <c:cat>
            <c:numRef>
              <c:f>Analysis!$A$6:$A$25</c:f>
              <c:numCache>
                <c:formatCode>General</c:formatCode>
                <c:ptCount val="20"/>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numCache>
            </c:numRef>
          </c:cat>
          <c:val>
            <c:numRef>
              <c:f>Analysis!$B$6:$B$25</c:f>
              <c:numCache>
                <c:formatCode>General</c:formatCode>
                <c:ptCount val="20"/>
                <c:pt idx="0">
                  <c:v>2</c:v>
                </c:pt>
                <c:pt idx="1">
                  <c:v>9</c:v>
                </c:pt>
                <c:pt idx="2">
                  <c:v>21</c:v>
                </c:pt>
                <c:pt idx="3">
                  <c:v>17</c:v>
                </c:pt>
                <c:pt idx="4">
                  <c:v>2</c:v>
                </c:pt>
                <c:pt idx="5">
                  <c:v>3</c:v>
                </c:pt>
                <c:pt idx="6">
                  <c:v>4</c:v>
                </c:pt>
                <c:pt idx="7">
                  <c:v>5</c:v>
                </c:pt>
                <c:pt idx="8">
                  <c:v>5</c:v>
                </c:pt>
                <c:pt idx="9">
                  <c:v>1</c:v>
                </c:pt>
                <c:pt idx="10">
                  <c:v>3</c:v>
                </c:pt>
                <c:pt idx="11">
                  <c:v>0</c:v>
                </c:pt>
                <c:pt idx="12">
                  <c:v>3</c:v>
                </c:pt>
                <c:pt idx="13">
                  <c:v>2</c:v>
                </c:pt>
                <c:pt idx="14">
                  <c:v>1</c:v>
                </c:pt>
                <c:pt idx="15">
                  <c:v>0</c:v>
                </c:pt>
                <c:pt idx="16">
                  <c:v>1</c:v>
                </c:pt>
                <c:pt idx="17">
                  <c:v>0</c:v>
                </c:pt>
                <c:pt idx="18">
                  <c:v>0</c:v>
                </c:pt>
                <c:pt idx="19">
                  <c:v>1</c:v>
                </c:pt>
              </c:numCache>
            </c:numRef>
          </c:val>
        </c:ser>
        <c:dLbls>
          <c:showLegendKey val="0"/>
          <c:showVal val="0"/>
          <c:showCatName val="0"/>
          <c:showSerName val="0"/>
          <c:showPercent val="0"/>
          <c:showBubbleSize val="0"/>
        </c:dLbls>
        <c:gapWidth val="150"/>
        <c:axId val="287051472"/>
        <c:axId val="287051864"/>
      </c:barChart>
      <c:catAx>
        <c:axId val="287051472"/>
        <c:scaling>
          <c:orientation val="minMax"/>
        </c:scaling>
        <c:delete val="0"/>
        <c:axPos val="b"/>
        <c:numFmt formatCode="General" sourceLinked="1"/>
        <c:majorTickMark val="out"/>
        <c:minorTickMark val="none"/>
        <c:tickLblPos val="nextTo"/>
        <c:crossAx val="287051864"/>
        <c:crosses val="autoZero"/>
        <c:auto val="1"/>
        <c:lblAlgn val="ctr"/>
        <c:lblOffset val="100"/>
        <c:noMultiLvlLbl val="0"/>
      </c:catAx>
      <c:valAx>
        <c:axId val="287051864"/>
        <c:scaling>
          <c:orientation val="minMax"/>
        </c:scaling>
        <c:delete val="0"/>
        <c:axPos val="l"/>
        <c:majorGridlines/>
        <c:numFmt formatCode="General" sourceLinked="1"/>
        <c:majorTickMark val="out"/>
        <c:minorTickMark val="none"/>
        <c:tickLblPos val="nextTo"/>
        <c:crossAx val="2870514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Food Amenities</a:t>
            </a:r>
          </a:p>
        </c:rich>
      </c:tx>
      <c:layout/>
      <c:overlay val="0"/>
    </c:title>
    <c:autoTitleDeleted val="0"/>
    <c:plotArea>
      <c:layout/>
      <c:barChart>
        <c:barDir val="bar"/>
        <c:grouping val="clustered"/>
        <c:varyColors val="0"/>
        <c:ser>
          <c:idx val="1"/>
          <c:order val="0"/>
          <c:tx>
            <c:v>Percent</c:v>
          </c:tx>
          <c:invertIfNegative val="0"/>
          <c:cat>
            <c:strRef>
              <c:f>Analysis!$A$36:$A$42</c:f>
              <c:strCache>
                <c:ptCount val="7"/>
                <c:pt idx="0">
                  <c:v>None of the above</c:v>
                </c:pt>
                <c:pt idx="1">
                  <c:v>Catered lunch days</c:v>
                </c:pt>
                <c:pt idx="2">
                  <c:v>Vending machines</c:v>
                </c:pt>
                <c:pt idx="3">
                  <c:v>Health-conscious food and beverage options</c:v>
                </c:pt>
                <c:pt idx="4">
                  <c:v>Onsite coffee shop</c:v>
                </c:pt>
                <c:pt idx="5">
                  <c:v>Cafeteria</c:v>
                </c:pt>
                <c:pt idx="6">
                  <c:v>Nearby eating area</c:v>
                </c:pt>
              </c:strCache>
            </c:strRef>
          </c:cat>
          <c:val>
            <c:numRef>
              <c:f>Analysis!$C$36:$C$42</c:f>
              <c:numCache>
                <c:formatCode>General</c:formatCode>
                <c:ptCount val="7"/>
                <c:pt idx="0">
                  <c:v>3.7037037037037035E-2</c:v>
                </c:pt>
                <c:pt idx="1">
                  <c:v>0.40740740740740738</c:v>
                </c:pt>
                <c:pt idx="2">
                  <c:v>0.49382716049382713</c:v>
                </c:pt>
                <c:pt idx="3">
                  <c:v>0.54320987654320985</c:v>
                </c:pt>
                <c:pt idx="4">
                  <c:v>0.5679012345679012</c:v>
                </c:pt>
                <c:pt idx="5">
                  <c:v>0.59259259259259256</c:v>
                </c:pt>
                <c:pt idx="6">
                  <c:v>0.62962962962962965</c:v>
                </c:pt>
              </c:numCache>
            </c:numRef>
          </c:val>
        </c:ser>
        <c:dLbls>
          <c:showLegendKey val="0"/>
          <c:showVal val="0"/>
          <c:showCatName val="0"/>
          <c:showSerName val="0"/>
          <c:showPercent val="0"/>
          <c:showBubbleSize val="0"/>
        </c:dLbls>
        <c:gapWidth val="150"/>
        <c:axId val="127683120"/>
        <c:axId val="287052648"/>
      </c:barChart>
      <c:catAx>
        <c:axId val="127683120"/>
        <c:scaling>
          <c:orientation val="minMax"/>
        </c:scaling>
        <c:delete val="0"/>
        <c:axPos val="l"/>
        <c:numFmt formatCode="General" sourceLinked="0"/>
        <c:majorTickMark val="out"/>
        <c:minorTickMark val="none"/>
        <c:tickLblPos val="nextTo"/>
        <c:crossAx val="287052648"/>
        <c:crosses val="autoZero"/>
        <c:auto val="1"/>
        <c:lblAlgn val="ctr"/>
        <c:lblOffset val="100"/>
        <c:noMultiLvlLbl val="0"/>
      </c:catAx>
      <c:valAx>
        <c:axId val="287052648"/>
        <c:scaling>
          <c:orientation val="minMax"/>
        </c:scaling>
        <c:delete val="0"/>
        <c:axPos val="b"/>
        <c:majorGridlines/>
        <c:numFmt formatCode="0%" sourceLinked="0"/>
        <c:majorTickMark val="out"/>
        <c:minorTickMark val="none"/>
        <c:tickLblPos val="nextTo"/>
        <c:crossAx val="12768312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Office Furnishings</a:t>
            </a:r>
          </a:p>
        </c:rich>
      </c:tx>
      <c:layout/>
      <c:overlay val="0"/>
    </c:title>
    <c:autoTitleDeleted val="0"/>
    <c:plotArea>
      <c:layout/>
      <c:barChart>
        <c:barDir val="bar"/>
        <c:grouping val="clustered"/>
        <c:varyColors val="0"/>
        <c:ser>
          <c:idx val="1"/>
          <c:order val="0"/>
          <c:tx>
            <c:v>Percent</c:v>
          </c:tx>
          <c:invertIfNegative val="0"/>
          <c:cat>
            <c:strRef>
              <c:f>Analysis!$A$66:$A$81</c:f>
              <c:strCache>
                <c:ptCount val="16"/>
                <c:pt idx="0">
                  <c:v>Under-desk elliptical</c:v>
                </c:pt>
                <c:pt idx="1">
                  <c:v>Adjustable white noise</c:v>
                </c:pt>
                <c:pt idx="2">
                  <c:v>Treadmill Desk</c:v>
                </c:pt>
                <c:pt idx="3">
                  <c:v>Height adjustable cubicle walls</c:v>
                </c:pt>
                <c:pt idx="4">
                  <c:v>Accessible and adjustable thermostat</c:v>
                </c:pt>
                <c:pt idx="5">
                  <c:v>More desk storage space</c:v>
                </c:pt>
                <c:pt idx="6">
                  <c:v>Accessible and adjustable lights</c:v>
                </c:pt>
                <c:pt idx="7">
                  <c:v>Choice of computer operating system</c:v>
                </c:pt>
                <c:pt idx="8">
                  <c:v>Large desks</c:v>
                </c:pt>
                <c:pt idx="9">
                  <c:v>Moveable desks</c:v>
                </c:pt>
                <c:pt idx="10">
                  <c:v>Freedom to choose desk layout</c:v>
                </c:pt>
                <c:pt idx="11">
                  <c:v>Plants</c:v>
                </c:pt>
                <c:pt idx="12">
                  <c:v>Multiple computer screens</c:v>
                </c:pt>
                <c:pt idx="13">
                  <c:v>Break/Leisure furniture</c:v>
                </c:pt>
                <c:pt idx="14">
                  <c:v>Height adjustable desks</c:v>
                </c:pt>
                <c:pt idx="15">
                  <c:v>Large windows</c:v>
                </c:pt>
              </c:strCache>
            </c:strRef>
          </c:cat>
          <c:val>
            <c:numRef>
              <c:f>Analysis!$C$66:$C$81</c:f>
              <c:numCache>
                <c:formatCode>General</c:formatCode>
                <c:ptCount val="16"/>
                <c:pt idx="0">
                  <c:v>0.16049382716049382</c:v>
                </c:pt>
                <c:pt idx="1">
                  <c:v>0.23456790123456789</c:v>
                </c:pt>
                <c:pt idx="2">
                  <c:v>0.25925925925925924</c:v>
                </c:pt>
                <c:pt idx="3">
                  <c:v>0.27160493827160492</c:v>
                </c:pt>
                <c:pt idx="4">
                  <c:v>0.40740740740740738</c:v>
                </c:pt>
                <c:pt idx="5">
                  <c:v>0.41975308641975306</c:v>
                </c:pt>
                <c:pt idx="6">
                  <c:v>0.44444444444444442</c:v>
                </c:pt>
                <c:pt idx="7">
                  <c:v>0.50617283950617287</c:v>
                </c:pt>
                <c:pt idx="8">
                  <c:v>0.51851851851851849</c:v>
                </c:pt>
                <c:pt idx="9">
                  <c:v>0.54320987654320985</c:v>
                </c:pt>
                <c:pt idx="10">
                  <c:v>0.5679012345679012</c:v>
                </c:pt>
                <c:pt idx="11">
                  <c:v>0.58024691358024694</c:v>
                </c:pt>
                <c:pt idx="12">
                  <c:v>0.62962962962962965</c:v>
                </c:pt>
                <c:pt idx="13">
                  <c:v>0.66666666666666663</c:v>
                </c:pt>
                <c:pt idx="14">
                  <c:v>0.70370370370370372</c:v>
                </c:pt>
                <c:pt idx="15">
                  <c:v>0.76543209876543206</c:v>
                </c:pt>
              </c:numCache>
            </c:numRef>
          </c:val>
        </c:ser>
        <c:dLbls>
          <c:showLegendKey val="0"/>
          <c:showVal val="0"/>
          <c:showCatName val="0"/>
          <c:showSerName val="0"/>
          <c:showPercent val="0"/>
          <c:showBubbleSize val="0"/>
        </c:dLbls>
        <c:gapWidth val="150"/>
        <c:axId val="286660344"/>
        <c:axId val="286660736"/>
      </c:barChart>
      <c:catAx>
        <c:axId val="286660344"/>
        <c:scaling>
          <c:orientation val="minMax"/>
        </c:scaling>
        <c:delete val="0"/>
        <c:axPos val="l"/>
        <c:numFmt formatCode="General" sourceLinked="0"/>
        <c:majorTickMark val="out"/>
        <c:minorTickMark val="none"/>
        <c:tickLblPos val="nextTo"/>
        <c:crossAx val="286660736"/>
        <c:crosses val="autoZero"/>
        <c:auto val="1"/>
        <c:lblAlgn val="ctr"/>
        <c:lblOffset val="100"/>
        <c:noMultiLvlLbl val="0"/>
      </c:catAx>
      <c:valAx>
        <c:axId val="286660736"/>
        <c:scaling>
          <c:orientation val="minMax"/>
        </c:scaling>
        <c:delete val="0"/>
        <c:axPos val="b"/>
        <c:majorGridlines/>
        <c:numFmt formatCode="General" sourceLinked="1"/>
        <c:majorTickMark val="out"/>
        <c:minorTickMark val="none"/>
        <c:tickLblPos val="nextTo"/>
        <c:crossAx val="28666034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Break/Leisure Activity</a:t>
            </a:r>
          </a:p>
        </c:rich>
      </c:tx>
      <c:layout/>
      <c:overlay val="0"/>
    </c:title>
    <c:autoTitleDeleted val="0"/>
    <c:plotArea>
      <c:layout/>
      <c:barChart>
        <c:barDir val="bar"/>
        <c:grouping val="clustered"/>
        <c:varyColors val="0"/>
        <c:ser>
          <c:idx val="1"/>
          <c:order val="0"/>
          <c:tx>
            <c:v>Percent</c:v>
          </c:tx>
          <c:invertIfNegative val="0"/>
          <c:cat>
            <c:strRef>
              <c:f>Analysis!$A$45:$A$50</c:f>
              <c:strCache>
                <c:ptCount val="6"/>
                <c:pt idx="0">
                  <c:v>None of the above</c:v>
                </c:pt>
                <c:pt idx="1">
                  <c:v>Game room</c:v>
                </c:pt>
                <c:pt idx="2">
                  <c:v>Exercise room</c:v>
                </c:pt>
                <c:pt idx="3">
                  <c:v>Quiet/relaxation areas</c:v>
                </c:pt>
                <c:pt idx="4">
                  <c:v>Break room</c:v>
                </c:pt>
                <c:pt idx="5">
                  <c:v>Attached outdoor greenspace</c:v>
                </c:pt>
              </c:strCache>
            </c:strRef>
          </c:cat>
          <c:val>
            <c:numRef>
              <c:f>Analysis!$C$45:$C$50</c:f>
              <c:numCache>
                <c:formatCode>General</c:formatCode>
                <c:ptCount val="6"/>
                <c:pt idx="0">
                  <c:v>6.1728395061728392E-2</c:v>
                </c:pt>
                <c:pt idx="1">
                  <c:v>0.35802469135802467</c:v>
                </c:pt>
                <c:pt idx="2">
                  <c:v>0.4567901234567901</c:v>
                </c:pt>
                <c:pt idx="3">
                  <c:v>0.59259259259259256</c:v>
                </c:pt>
                <c:pt idx="4">
                  <c:v>0.61728395061728392</c:v>
                </c:pt>
                <c:pt idx="5">
                  <c:v>0.62962962962962965</c:v>
                </c:pt>
              </c:numCache>
            </c:numRef>
          </c:val>
        </c:ser>
        <c:dLbls>
          <c:showLegendKey val="0"/>
          <c:showVal val="0"/>
          <c:showCatName val="0"/>
          <c:showSerName val="0"/>
          <c:showPercent val="0"/>
          <c:showBubbleSize val="0"/>
        </c:dLbls>
        <c:gapWidth val="150"/>
        <c:axId val="286661520"/>
        <c:axId val="286661912"/>
      </c:barChart>
      <c:catAx>
        <c:axId val="286661520"/>
        <c:scaling>
          <c:orientation val="minMax"/>
        </c:scaling>
        <c:delete val="0"/>
        <c:axPos val="l"/>
        <c:numFmt formatCode="General" sourceLinked="0"/>
        <c:majorTickMark val="out"/>
        <c:minorTickMark val="none"/>
        <c:tickLblPos val="nextTo"/>
        <c:crossAx val="286661912"/>
        <c:crosses val="autoZero"/>
        <c:auto val="1"/>
        <c:lblAlgn val="ctr"/>
        <c:lblOffset val="100"/>
        <c:noMultiLvlLbl val="0"/>
      </c:catAx>
      <c:valAx>
        <c:axId val="286661912"/>
        <c:scaling>
          <c:orientation val="minMax"/>
        </c:scaling>
        <c:delete val="0"/>
        <c:axPos val="b"/>
        <c:majorGridlines/>
        <c:numFmt formatCode="0%" sourceLinked="0"/>
        <c:majorTickMark val="out"/>
        <c:minorTickMark val="none"/>
        <c:tickLblPos val="nextTo"/>
        <c:crossAx val="286661520"/>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18</Pages>
  <Words>822</Words>
  <Characters>4688</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Federal Home Loan Bank of Des Moines</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Carter Kemmet</dc:creator>
  <cp:lastModifiedBy>Bista, Bibidh</cp:lastModifiedBy>
  <cp:revision>2</cp:revision>
  <cp:lastPrinted>2016-07-07T19:56:00Z</cp:lastPrinted>
  <dcterms:created xsi:type="dcterms:W3CDTF">2016-07-19T15:34:00Z</dcterms:created>
  <dcterms:modified xsi:type="dcterms:W3CDTF">2016-07-19T15:34:00Z</dcterms:modified>
</cp:coreProperties>
</file>