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1.2</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Run payroll with salary advances recovered automatically, and produce the UAE WPS file your bank needs to pay everyone.</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spacing w:after="20" w:before="1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 The sign-in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 the left sidebar (modules you can open, grouped by area), the top bar (company switcher, search, the “?” help button, the notifications bell and your account menu), and the main working area.</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 The Dashboard — sidebar (left), top bar (top) and main area</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pPr>
        <w:pStyle w:val="Heading2"/>
        <w:spacing w:after="100" w:before="240"/>
      </w:pPr>
      <w:r>
        <w:t xml:space="preserve">2.5 Day mode and night mode</w:t>
      </w:r>
    </w:p>
    <w:p>
      <w:pPr>
        <w:spacing w:after="120"/>
      </w:pPr>
      <w:r>
        <w:t xml:space="preserve">The sun / moon button in the top bar switches the whole app between its normal light appearance (day) and a dark one (night). Night mode is easier on the eyes in a dim office or late in the evening, and on a phone it uses less battery.</w:t>
      </w:r>
    </w:p>
    <w:p>
      <w:pPr>
        <w:pStyle w:val="ListParagraph"/>
        <w:numPr>
          <w:ilvl w:val="0"/>
          <w:numId w:val="5"/>
        </w:numPr>
        <w:spacing w:after="40"/>
      </w:pPr>
      <w:r>
        <w:t xml:space="preserve">Click the moon icon in the top bar to switch to night mode.</w:t>
      </w:r>
    </w:p>
    <w:p>
      <w:pPr>
        <w:pStyle w:val="ListParagraph"/>
        <w:numPr>
          <w:ilvl w:val="0"/>
          <w:numId w:val="5"/>
        </w:numPr>
        <w:spacing w:after="40"/>
      </w:pPr>
      <w:r>
        <w:t xml:space="preserve">Click the sun icon to switch back to day mode.</w:t>
      </w:r>
    </w:p>
    <w:p>
      <w:pPr>
        <w:pStyle w:val="ListParagraph"/>
        <w:numPr>
          <w:ilvl w:val="0"/>
          <w:numId w:val="5"/>
        </w:numPr>
        <w:spacing w:after="40"/>
      </w:pPr>
      <w:r>
        <w:t xml:space="preserve">Your choice is remembered on that device and applies to every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you have never chosen, the app follows your computer or phone’s own setting — so if your device turns dark in the evening, the ERP follows it. Printed documents, such as the settlement statement, always print on white paper whichever mode you are in.</w:t>
      </w:r>
    </w:p>
    <w:p>
      <w:pPr>
        <w:pStyle w:val="Heading2"/>
        <w:spacing w:after="100" w:before="240"/>
      </w:pPr>
      <w:r>
        <w:t xml:space="preserve">2.6 Using the app on a phone or tablet</w:t>
      </w:r>
    </w:p>
    <w:p>
      <w:pPr>
        <w:spacing w:after="120"/>
      </w:pPr>
      <w:r>
        <w:t xml:space="preserve">The ERP works on a phone and a tablet as well as a desktop. On smaller screens the menu is tucked away so the content gets the full width of the display.</w:t>
      </w:r>
    </w:p>
    <w:p>
      <w:pPr>
        <w:pStyle w:val="ListParagraph"/>
        <w:numPr>
          <w:ilvl w:val="0"/>
          <w:numId w:val="6"/>
        </w:numPr>
        <w:spacing w:after="40"/>
      </w:pPr>
      <w:r>
        <w:t xml:space="preserve">Tap the menu button at the top-left to slide the menu out.</w:t>
      </w:r>
    </w:p>
    <w:p>
      <w:pPr>
        <w:pStyle w:val="ListParagraph"/>
        <w:numPr>
          <w:ilvl w:val="0"/>
          <w:numId w:val="6"/>
        </w:numPr>
        <w:spacing w:after="40"/>
      </w:pPr>
      <w:r>
        <w:t xml:space="preserve">Tap a menu item, the X, or anywhere outside the menu to close it again.</w:t>
      </w:r>
    </w:p>
    <w:p>
      <w:pPr>
        <w:pStyle w:val="ListParagraph"/>
        <w:numPr>
          <w:ilvl w:val="0"/>
          <w:numId w:val="6"/>
        </w:numPr>
        <w:spacing w:after="40"/>
      </w:pPr>
      <w:r>
        <w:t xml:space="preserve">Wide tables scroll sideways inside their own box — swipe across them to see the remaining columns.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 desktop nothing changes: the menu stays permanently on the left, and the arrow at the top of it still shrinks it to icons when you want more room.</w:t>
      </w:r>
    </w:p>
    <w:p>
      <w:r>
        <w:br w:type="page"/>
      </w:r>
    </w:p>
    <w:p>
      <w:pPr>
        <w:pStyle w:val="Heading1"/>
        <w:spacing w:after="140" w:before="320"/>
      </w:pPr>
      <w:r>
        <w:t xml:space="preserve">3. Dashboard</w:t>
      </w:r>
    </w:p>
    <w:p>
      <w:pPr>
        <w:spacing w:after="120"/>
      </w:pPr>
      <w:r>
        <w:t xml:space="preserve">The Dashboard is your home screen, and it arranges itself around your job. There is only one dashboard, but two people opening it may see quite different things — each panel appears only if you have access to the screen behind it.</w:t>
      </w:r>
    </w:p>
    <w:p>
      <w:pPr>
        <w:pStyle w:val="Heading2"/>
        <w:spacing w:after="100" w:before="240"/>
      </w:pPr>
      <w:r>
        <w:t xml:space="preserve">3.1 What you will see</w:t>
      </w:r>
    </w:p>
    <w:p>
      <w:pPr>
        <w:pStyle w:val="ListParagraph"/>
        <w:numPr>
          <w:ilvl w:val="0"/>
          <w:numId w:val="2"/>
        </w:numPr>
        <w:spacing w:after="40"/>
      </w:pPr>
      <w:r>
        <w:t xml:space="preserve">A group administrator sees everything, and the page is titled “Group Dashboard”.</w:t>
      </w:r>
    </w:p>
    <w:p>
      <w:pPr>
        <w:pStyle w:val="ListParagraph"/>
        <w:numPr>
          <w:ilvl w:val="0"/>
          <w:numId w:val="2"/>
        </w:numPr>
        <w:spacing w:after="40"/>
      </w:pPr>
      <w:r>
        <w:t xml:space="preserve">Someone with finance access only sees a “Finance Dashboard” — revenue, cash position, VAT and pending journals.</w:t>
      </w:r>
    </w:p>
    <w:p>
      <w:pPr>
        <w:pStyle w:val="ListParagraph"/>
        <w:numPr>
          <w:ilvl w:val="0"/>
          <w:numId w:val="2"/>
        </w:numPr>
        <w:spacing w:after="40"/>
      </w:pPr>
      <w:r>
        <w:t xml:space="preserve">Someone with HR access only sees an “HR Dashboard” — headcount, leave, expiring documents and job assignments.</w:t>
      </w:r>
    </w:p>
    <w:p>
      <w:pPr>
        <w:pStyle w:val="ListParagraph"/>
        <w:numPr>
          <w:ilvl w:val="0"/>
          <w:numId w:val="2"/>
        </w:numPr>
        <w:spacing w:after="40"/>
      </w:pPr>
      <w:r>
        <w:t xml:space="preserve">Someone whose role covers a single screen — a site timekeeper, for example — gets a short focused dashboard rather than a page of empty boxes.</w:t>
      </w:r>
    </w:p>
    <w:p>
      <w:pPr>
        <w:pStyle w:val="Heading2"/>
        <w:spacing w:after="100" w:before="240"/>
      </w:pPr>
      <w:r>
        <w:t xml:space="preserve">3.2 Panels</w:t>
      </w:r>
    </w:p>
    <w:p>
      <w:pPr>
        <w:pStyle w:val="ListParagraph"/>
        <w:numPr>
          <w:ilvl w:val="0"/>
          <w:numId w:val="2"/>
        </w:numPr>
        <w:spacing w:after="40"/>
      </w:pPr>
      <w:r>
        <w:t xml:space="preserve">KPI cards — Group Revenue (year to date), Cash Position, Open Approvals and Documents expiring within 60 days.</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spacing w:after="120"/>
      </w:pPr>
      <w:r>
        <w:t xml:space="preserve">Every figure on the dashboard is clickable and takes you straight to the records behind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There is nothing to configure. Grant or remove a screen for a role in Administration → Access Control and that user’s dashboard changes to match the next time they open it.</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3: Dashboard KPI cards and group companies</w:t>
      </w:r>
    </w:p>
    <w:p>
      <w:r>
        <w:br w:type="page"/>
      </w:r>
    </w:p>
    <w:p>
      <w:pPr>
        <w:pStyle w:val="Heading1"/>
        <w:spacing w:after="140" w:before="320"/>
      </w:pPr>
      <w:r>
        <w:t xml:space="preserve">4. Finance &amp; Accounting</w:t>
      </w:r>
    </w:p>
    <w:p>
      <w:pPr>
        <w:spacing w:after="120"/>
      </w:pPr>
      <w:r>
        <w:t xml:space="preserve">Finance keeps each company's books using standard double-entry accounting. You do not need to be an accountant — choose the right voucher type and the system handles the debits and credits. Finance is organised into tabs: Overview, Day Book, Ledgers, Reports, VAT and Tally Sync.</w:t>
      </w:r>
    </w:p>
    <w:p>
      <w:pPr>
        <w:pStyle w:val="Heading2"/>
        <w:spacing w:after="100" w:before="240"/>
      </w:pPr>
      <w:r>
        <w:t xml:space="preserve">4.1 Key terms (plain English)</w:t>
      </w:r>
    </w:p>
    <w:p>
      <w:pPr>
        <w:pStyle w:val="ListParagraph"/>
        <w:numPr>
          <w:ilvl w:val="0"/>
          <w:numId w:val="2"/>
        </w:numPr>
        <w:spacing w:after="40"/>
      </w:pPr>
      <w:r>
        <w:rPr>
          <w:b/>
          <w:bCs/>
        </w:rPr>
        <w:t xml:space="preserve">Account / ledger — </w:t>
      </w:r>
      <w:r>
        <w:t xml:space="preserve">a bucket for one kind of money, e.g. “Cash at Bank” or “Salaries”.</w:t>
      </w:r>
    </w:p>
    <w:p>
      <w:pPr>
        <w:pStyle w:val="ListParagraph"/>
        <w:numPr>
          <w:ilvl w:val="0"/>
          <w:numId w:val="2"/>
        </w:numPr>
        <w:spacing w:after="40"/>
      </w:pPr>
      <w:r>
        <w:rPr>
          <w:b/>
          <w:bCs/>
        </w:rPr>
        <w:t xml:space="preserve">Voucher (journal entry) — </w:t>
      </w:r>
      <w:r>
        <w:t xml:space="preserve">a record of one transaction. Every voucher has two equal sides (a debit and a credit) that keep the books balanced.</w:t>
      </w:r>
    </w:p>
    <w:p>
      <w:pPr>
        <w:pStyle w:val="ListParagraph"/>
        <w:numPr>
          <w:ilvl w:val="0"/>
          <w:numId w:val="2"/>
        </w:numPr>
        <w:spacing w:after="40"/>
      </w:pPr>
      <w:r>
        <w:rPr>
          <w:b/>
          <w:bCs/>
        </w:rPr>
        <w:t xml:space="preserve">Trial balance — </w:t>
      </w:r>
      <w:r>
        <w:t xml:space="preserve">a list of all accounts with their balances; the two columns always match.</w:t>
      </w:r>
    </w:p>
    <w:p>
      <w:pPr>
        <w:pStyle w:val="Heading2"/>
        <w:spacing w:after="100" w:before="240"/>
      </w:pPr>
      <w:r>
        <w:t xml:space="preserve">4.2 Recording a transaction (voucher)</w:t>
      </w:r>
    </w:p>
    <w:p>
      <w:pPr>
        <w:pStyle w:val="ListParagraph"/>
        <w:numPr>
          <w:ilvl w:val="0"/>
          <w:numId w:val="7"/>
        </w:numPr>
        <w:spacing w:after="40"/>
      </w:pPr>
      <w:r>
        <w:t xml:space="preserve">Open Finance &amp; Accounting → Overview and click New journal entry.</w:t>
      </w:r>
    </w:p>
    <w:p>
      <w:pPr>
        <w:pStyle w:val="ListParagraph"/>
        <w:numPr>
          <w:ilvl w:val="0"/>
          <w:numId w:val="7"/>
        </w:numPr>
        <w:spacing w:after="40"/>
      </w:pPr>
      <w:r>
        <w:t xml:space="preserve">Choose the voucher type (see the guide below).</w:t>
      </w:r>
    </w:p>
    <w:p>
      <w:pPr>
        <w:pStyle w:val="ListParagraph"/>
        <w:numPr>
          <w:ilvl w:val="0"/>
          <w:numId w:val="7"/>
        </w:numPr>
        <w:spacing w:after="40"/>
      </w:pPr>
      <w:r>
        <w:t xml:space="preserve">Select the accounts and enter the amounts — the debit and credit totals must match.</w:t>
      </w:r>
    </w:p>
    <w:p>
      <w:pPr>
        <w:pStyle w:val="ListParagraph"/>
        <w:numPr>
          <w:ilvl w:val="0"/>
          <w:numId w:val="7"/>
        </w:numPr>
        <w:spacing w:after="40"/>
      </w:pPr>
      <w:r>
        <w:t xml:space="preserve">Add the party (customer/supplier) and the VAT amount if relevant.</w:t>
      </w:r>
    </w:p>
    <w:p>
      <w:pPr>
        <w:pStyle w:val="ListParagraph"/>
        <w:numPr>
          <w:ilvl w:val="0"/>
          <w:numId w:val="7"/>
        </w:numPr>
        <w:spacing w:after="40"/>
      </w:pPr>
      <w:r>
        <w:t xml:space="preserve">Click Post entry. The reference number is generated automatically.</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4: The New Journal Entry form</w:t>
      </w:r>
    </w:p>
    <w:p>
      <w:pPr>
        <w:pStyle w:val="Heading3"/>
        <w:spacing w:after="80" w:before="180"/>
      </w:pPr>
      <w:r>
        <w:t xml:space="preserve">Which voucher type to use</w:t>
      </w:r>
    </w:p>
    <w:p>
      <w:pPr>
        <w:pStyle w:val="ListParagraph"/>
        <w:numPr>
          <w:ilvl w:val="0"/>
          <w:numId w:val="2"/>
        </w:numPr>
        <w:spacing w:after="40"/>
      </w:pPr>
      <w:r>
        <w:rPr>
          <w:b/>
          <w:bCs/>
        </w:rPr>
        <w:t xml:space="preserve">Payment — </w:t>
      </w:r>
      <w:r>
        <w:t xml:space="preserve">money going out (you paid someone).</w:t>
      </w:r>
    </w:p>
    <w:p>
      <w:pPr>
        <w:pStyle w:val="ListParagraph"/>
        <w:numPr>
          <w:ilvl w:val="0"/>
          <w:numId w:val="2"/>
        </w:numPr>
        <w:spacing w:after="40"/>
      </w:pPr>
      <w:r>
        <w:rPr>
          <w:b/>
          <w:bCs/>
        </w:rPr>
        <w:t xml:space="preserve">Receipt — </w:t>
      </w:r>
      <w:r>
        <w:t xml:space="preserve">money coming in (someone paid you).</w:t>
      </w:r>
    </w:p>
    <w:p>
      <w:pPr>
        <w:pStyle w:val="ListParagraph"/>
        <w:numPr>
          <w:ilvl w:val="0"/>
          <w:numId w:val="2"/>
        </w:numPr>
        <w:spacing w:after="40"/>
      </w:pPr>
      <w:r>
        <w:rPr>
          <w:b/>
          <w:bCs/>
        </w:rPr>
        <w:t xml:space="preserve">Sales — </w:t>
      </w:r>
      <w:r>
        <w:t xml:space="preserve">an invoice raised to a customer.</w:t>
      </w:r>
    </w:p>
    <w:p>
      <w:pPr>
        <w:pStyle w:val="ListParagraph"/>
        <w:numPr>
          <w:ilvl w:val="0"/>
          <w:numId w:val="2"/>
        </w:numPr>
        <w:spacing w:after="40"/>
      </w:pPr>
      <w:r>
        <w:rPr>
          <w:b/>
          <w:bCs/>
        </w:rPr>
        <w:t xml:space="preserve">Purchase — </w:t>
      </w:r>
      <w:r>
        <w:t xml:space="preserve">a bill received from a supplier.</w:t>
      </w:r>
    </w:p>
    <w:p>
      <w:pPr>
        <w:pStyle w:val="ListParagraph"/>
        <w:numPr>
          <w:ilvl w:val="0"/>
          <w:numId w:val="2"/>
        </w:numPr>
        <w:spacing w:after="40"/>
      </w:pPr>
      <w:r>
        <w:rPr>
          <w:b/>
          <w:bCs/>
        </w:rPr>
        <w:t xml:space="preserve">Contra — </w:t>
      </w:r>
      <w:r>
        <w:t xml:space="preserve">moving money between your own cash and bank.</w:t>
      </w:r>
    </w:p>
    <w:p>
      <w:pPr>
        <w:pStyle w:val="ListParagraph"/>
        <w:numPr>
          <w:ilvl w:val="0"/>
          <w:numId w:val="2"/>
        </w:numPr>
        <w:spacing w:after="40"/>
      </w:pPr>
      <w:r>
        <w:rPr>
          <w:b/>
          <w:bCs/>
        </w:rPr>
        <w:t xml:space="preserve">Journal — </w:t>
      </w:r>
      <w:r>
        <w:t xml:space="preserve">adjustments and anything that doesn't fit the others.</w:t>
      </w:r>
    </w:p>
    <w:p>
      <w:pPr>
        <w:pStyle w:val="Heading2"/>
        <w:spacing w:after="100" w:before="240"/>
      </w:pPr>
      <w:r>
        <w:t xml:space="preserve">4.3 Day Book</w:t>
      </w:r>
    </w:p>
    <w:p>
      <w:pPr>
        <w:spacing w:after="120"/>
      </w:pPr>
      <w:r>
        <w:t xml:space="preserve">The Day Book lists every voucher in date order for the selected company — the quickest way to see everything posted on a given day.</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5: The Day Book</w:t>
      </w:r>
    </w:p>
    <w:p>
      <w:pPr>
        <w:pStyle w:val="Heading2"/>
        <w:spacing w:after="100" w:before="240"/>
      </w:pPr>
      <w:r>
        <w:t xml:space="preserve">4.4 Ledgers</w:t>
      </w:r>
    </w:p>
    <w:p>
      <w:pPr>
        <w:pStyle w:val="ListParagraph"/>
        <w:numPr>
          <w:ilvl w:val="0"/>
          <w:numId w:val="8"/>
        </w:numPr>
        <w:spacing w:after="40"/>
      </w:pPr>
      <w:r>
        <w:t xml:space="preserve">Open the Ledgers tab.</w:t>
      </w:r>
    </w:p>
    <w:p>
      <w:pPr>
        <w:pStyle w:val="ListParagraph"/>
        <w:numPr>
          <w:ilvl w:val="0"/>
          <w:numId w:val="8"/>
        </w:numPr>
        <w:spacing w:after="40"/>
      </w:pPr>
      <w:r>
        <w:t xml:space="preserve">Pick an account from the list (e.g. “Cash at Bank”).</w:t>
      </w:r>
    </w:p>
    <w:p>
      <w:pPr>
        <w:pStyle w:val="ListParagraph"/>
        <w:numPr>
          <w:ilvl w:val="0"/>
          <w:numId w:val="8"/>
        </w:numPr>
        <w:spacing w:after="40"/>
      </w:pPr>
      <w:r>
        <w:t xml:space="preserve">You will see every entry that touched it, with the running balance after each — “Dr” means a debit balance, “Cr” a credit balance.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6: A ledger statement with running balance</w:t>
      </w:r>
    </w:p>
    <w:p>
      <w:pPr>
        <w:pStyle w:val="Heading2"/>
        <w:spacing w:after="100" w:before="240"/>
      </w:pPr>
      <w:r>
        <w:t xml:space="preserve">4.5 Reports — Profit &amp; Loss and Balance Sheet</w:t>
      </w:r>
    </w:p>
    <w:p>
      <w:pPr>
        <w:spacing w:after="120"/>
      </w:pPr>
      <w:r>
        <w:t xml:space="preserve">Profit &amp; Loss answers “did we make money?” (income minus expenses over a period). The Balance Sheet answers “what do we own and owe right now?” A “✓ Balanced” tick confirms the books are consistent.</w:t>
      </w:r>
    </w:p>
    <w:p>
      <w:pPr>
        <w:spacing w:after="20" w:before="10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7: Profit &amp; Loss and Balance Sheet</w:t>
      </w:r>
    </w:p>
    <w:p>
      <w:pPr>
        <w:pStyle w:val="Heading2"/>
        <w:spacing w:after="100" w:before="240"/>
      </w:pPr>
      <w:r>
        <w:t xml:space="preserve">4.6 VAT Report</w:t>
      </w:r>
    </w:p>
    <w:p>
      <w:pPr>
        <w:spacing w:after="120"/>
      </w:pPr>
      <w:r>
        <w:t xml:space="preserve">Shows the UAE 5% VAT position: Output VAT (charged on sales), Input VAT (paid on purchases and reclaimable), and the Net VAT payable to the FTA. Figures come from the VAT amount entered on each Sales or Purchase voucher.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Always fill the VAT amount when posting a Sales or Purchase voucher, so the VAT report stays accurate.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8: The VAT report</w:t>
      </w:r>
    </w:p>
    <w:p>
      <w:pPr>
        <w:pStyle w:val="Heading2"/>
        <w:spacing w:after="100" w:before="240"/>
      </w:pPr>
      <w:r>
        <w:t xml:space="preserve">4.7 Connecting your existing Tally</w:t>
      </w:r>
    </w:p>
    <w:p>
      <w:pPr>
        <w:pStyle w:val="ListParagraph"/>
        <w:numPr>
          <w:ilvl w:val="0"/>
          <w:numId w:val="9"/>
        </w:numPr>
        <w:spacing w:after="40"/>
      </w:pPr>
      <w:r>
        <w:t xml:space="preserve">In Tally, enable the HTTP gateway (Gateway of Tally → F1 → Connectivity → “Act as: Both/Server”, port 9000).</w:t>
      </w:r>
    </w:p>
    <w:p>
      <w:pPr>
        <w:pStyle w:val="ListParagraph"/>
        <w:numPr>
          <w:ilvl w:val="0"/>
          <w:numId w:val="9"/>
        </w:numPr>
        <w:spacing w:after="40"/>
      </w:pPr>
      <w:r>
        <w:t xml:space="preserve">In the ERP open Finance → Tally Sync and enter the Tally computer's host/IP, port and the exact company name, then Save.</w:t>
      </w:r>
    </w:p>
    <w:p>
      <w:pPr>
        <w:pStyle w:val="ListParagraph"/>
        <w:numPr>
          <w:ilvl w:val="0"/>
          <w:numId w:val="9"/>
        </w:numPr>
        <w:spacing w:after="40"/>
      </w:pPr>
      <w:r>
        <w:t xml:space="preserve">Click Test connection to confirm the ERP can reach Tally.</w:t>
      </w:r>
    </w:p>
    <w:p>
      <w:pPr>
        <w:pStyle w:val="ListParagraph"/>
        <w:numPr>
          <w:ilvl w:val="0"/>
          <w:numId w:val="9"/>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spacing w:after="20" w:before="1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9: The Tally Sync page</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10"/>
        </w:numPr>
        <w:spacing w:after="40"/>
      </w:pPr>
      <w:r>
        <w:t xml:space="preserve">Open HR &amp; Admin → Employees and click Add employee.</w:t>
      </w:r>
    </w:p>
    <w:p>
      <w:pPr>
        <w:pStyle w:val="ListParagraph"/>
        <w:numPr>
          <w:ilvl w:val="0"/>
          <w:numId w:val="10"/>
        </w:numPr>
        <w:spacing w:after="40"/>
      </w:pPr>
      <w:r>
        <w:t xml:space="preserve">Fill the basics (name, department, designation, salary) and Save.</w:t>
      </w:r>
    </w:p>
    <w:p>
      <w:pPr>
        <w:pStyle w:val="ListParagraph"/>
        <w:numPr>
          <w:ilvl w:val="0"/>
          <w:numId w:val="10"/>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10: The Employees list</w:t>
      </w:r>
    </w:p>
    <w:p>
      <w:pPr>
        <w:pStyle w:val="Heading2"/>
        <w:spacing w:after="100" w:before="240"/>
      </w:pPr>
      <w:r>
        <w:t xml:space="preserve">5.2 Onboarding</w:t>
      </w:r>
    </w:p>
    <w:p>
      <w:pPr>
        <w:pStyle w:val="ListParagraph"/>
        <w:numPr>
          <w:ilvl w:val="0"/>
          <w:numId w:val="11"/>
        </w:numPr>
        <w:spacing w:after="40"/>
      </w:pPr>
      <w:r>
        <w:t xml:space="preserve">Raise a requisition for the role you need to fill.</w:t>
      </w:r>
    </w:p>
    <w:p>
      <w:pPr>
        <w:pStyle w:val="ListParagraph"/>
        <w:numPr>
          <w:ilvl w:val="0"/>
          <w:numId w:val="11"/>
        </w:numPr>
        <w:spacing w:after="40"/>
      </w:pPr>
      <w:r>
        <w:t xml:space="preserve">Add candidates and move them through the stages.</w:t>
      </w:r>
    </w:p>
    <w:p>
      <w:pPr>
        <w:pStyle w:val="ListParagraph"/>
        <w:numPr>
          <w:ilvl w:val="0"/>
          <w:numId w:val="11"/>
        </w:numPr>
        <w:spacing w:after="40"/>
      </w:pPr>
      <w:r>
        <w:t xml:space="preserve">When you hire a candidate, an employee record and a joining checklist are created automatically.</w:t>
      </w:r>
    </w:p>
    <w:p>
      <w:pPr>
        <w:spacing w:after="2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11: Onboarding — raising a requisition</w:t>
      </w:r>
    </w:p>
    <w:p>
      <w:pPr>
        <w:pStyle w:val="Heading2"/>
        <w:spacing w:after="100" w:before="240"/>
      </w:pPr>
      <w:r>
        <w:t xml:space="preserve">5.3 Payroll</w:t>
      </w:r>
    </w:p>
    <w:p>
      <w:pPr>
        <w:spacing w:after="120"/>
      </w:pPr>
      <w:r>
        <w:t xml:space="preserve">A payroll run is one month of salaries for one company. The system reads each employee’s salary structure and builds a payslip for every active employee, so you never type the figures in yourself.</w:t>
      </w:r>
    </w:p>
    <w:p>
      <w:pPr>
        <w:pStyle w:val="ListParagraph"/>
        <w:numPr>
          <w:ilvl w:val="0"/>
          <w:numId w:val="12"/>
        </w:numPr>
        <w:spacing w:after="40"/>
      </w:pPr>
      <w:r>
        <w:t xml:space="preserve">Click “Run payroll” and pick the month — for example September 2026.</w:t>
      </w:r>
    </w:p>
    <w:p>
      <w:pPr>
        <w:pStyle w:val="ListParagraph"/>
        <w:numPr>
          <w:ilvl w:val="0"/>
          <w:numId w:val="12"/>
        </w:numPr>
        <w:spacing w:after="40"/>
      </w:pPr>
      <w:r>
        <w:t xml:space="preserve">Payslips are generated automatically: Basic + Allowances, less any salary advance instalment due, gives Net Pay.</w:t>
      </w:r>
    </w:p>
    <w:p>
      <w:pPr>
        <w:pStyle w:val="ListParagraph"/>
        <w:numPr>
          <w:ilvl w:val="0"/>
          <w:numId w:val="12"/>
        </w:numPr>
        <w:spacing w:after="40"/>
      </w:pPr>
      <w:r>
        <w:t xml:space="preserve">Review the list. The Advance column shows what is being recovered from each person this month.</w:t>
      </w:r>
    </w:p>
    <w:p>
      <w:pPr>
        <w:pStyle w:val="ListParagraph"/>
        <w:numPr>
          <w:ilvl w:val="0"/>
          <w:numId w:val="12"/>
        </w:numPr>
        <w:spacing w:after="40"/>
      </w:pPr>
      <w:r>
        <w:t xml:space="preserve">Move the run from Draft → Approved → Paid. Advance balances only reduce when the run is marked Paid.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Only one payroll run is allowed per company per month. If you made a mistake, delete the Draft run and create it again — Approved and Paid runs cannot be deleted, on purpose, so the history stays trustworthy.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12: Payroll runs and payslips</w:t>
      </w:r>
    </w:p>
    <w:p>
      <w:pPr>
        <w:pStyle w:val="Heading3"/>
        <w:spacing w:after="80" w:before="180"/>
      </w:pPr>
      <w:r>
        <w:t xml:space="preserve">Salary advances</w:t>
      </w:r>
    </w:p>
    <w:p>
      <w:pPr>
        <w:spacing w:after="120"/>
      </w:pPr>
      <w:r>
        <w:t xml:space="preserve">An advance is money given to an employee before payday — for a flight home, a deposit, an emergency. Rather than remembering to deduct it every month, you record it once and the system takes a fixed amount off each payslip until it is repaid.</w:t>
      </w:r>
    </w:p>
    <w:p>
      <w:pPr>
        <w:pStyle w:val="ListParagraph"/>
        <w:numPr>
          <w:ilvl w:val="0"/>
          <w:numId w:val="13"/>
        </w:numPr>
        <w:spacing w:after="40"/>
      </w:pPr>
      <w:r>
        <w:t xml:space="preserve">On the Payroll screen click “New advance”.</w:t>
      </w:r>
    </w:p>
    <w:p>
      <w:pPr>
        <w:pStyle w:val="ListParagraph"/>
        <w:numPr>
          <w:ilvl w:val="0"/>
          <w:numId w:val="13"/>
        </w:numPr>
        <w:spacing w:after="40"/>
      </w:pPr>
      <w:r>
        <w:t xml:space="preserve">Choose the employee, enter the total amount given and how much to recover each month.</w:t>
      </w:r>
    </w:p>
    <w:p>
      <w:pPr>
        <w:pStyle w:val="ListParagraph"/>
        <w:numPr>
          <w:ilvl w:val="0"/>
          <w:numId w:val="13"/>
        </w:numPr>
        <w:spacing w:after="40"/>
      </w:pPr>
      <w:r>
        <w:t xml:space="preserve">Add a reason if you want it on record — “Air ticket”, “Medical”, and so on.</w:t>
      </w:r>
    </w:p>
    <w:p>
      <w:pPr>
        <w:pStyle w:val="ListParagraph"/>
        <w:numPr>
          <w:ilvl w:val="0"/>
          <w:numId w:val="13"/>
        </w:numPr>
        <w:spacing w:after="40"/>
      </w:pPr>
      <w:r>
        <w:t xml:space="preserve">The advance appears under “Active salary advances” with its outstanding balance.</w:t>
      </w:r>
    </w:p>
    <w:p>
      <w:pPr>
        <w:pStyle w:val="ListParagraph"/>
        <w:numPr>
          <w:ilvl w:val="0"/>
          <w:numId w:val="13"/>
        </w:numPr>
        <w:spacing w:after="40"/>
      </w:pPr>
      <w:r>
        <w:t xml:space="preserve">Each payroll run then deducts the monthly amount by itself, until the balance reaches zero and the advance is marked Cleared.</w:t>
      </w:r>
    </w:p>
    <w:p>
      <w:pPr>
        <w:spacing w:after="120"/>
      </w:pPr>
      <w:r>
        <w:t xml:space="preserve">Worked example. An advance of AED 6,000 is given, to be recovered at AED 1,000 a month. An employee on AED 18,000 basic plus AED 4,000 allowances takes home 18,000 + 4,000 − 1,000 = AED 21,000 that month, and the outstanding balance falls to AED 5,000 once the run is marked Paid. After six runs the advance is fully recovered.</w:t>
      </w:r>
    </w:p>
    <w:p>
      <w:pPr>
        <w:pStyle w:val="Heading3"/>
        <w:spacing w:after="80" w:before="180"/>
      </w:pPr>
      <w:r>
        <w:t xml:space="preserve">The WPS file for the bank</w:t>
      </w:r>
    </w:p>
    <w:p>
      <w:pPr>
        <w:spacing w:after="120"/>
      </w:pPr>
      <w:r>
        <w:t xml:space="preserve">In the UAE, salaries must be paid through the Wage Protection System (WPS). Your bank needs a file called a SIF — Salary Information File — listing who is paid, how much, and into which account. The system builds that file from your payroll run, so nobody has to format it by hand.</w:t>
      </w:r>
    </w:p>
    <w:p>
      <w:pPr>
        <w:pStyle w:val="ListParagraph"/>
        <w:numPr>
          <w:ilvl w:val="0"/>
          <w:numId w:val="14"/>
        </w:numPr>
        <w:spacing w:after="40"/>
      </w:pPr>
      <w:r>
        <w:t xml:space="preserve">One-time setup: at the bottom of the Payroll screen, enter the WPS employer ID and the bank routing code. Your bank provides both.</w:t>
      </w:r>
    </w:p>
    <w:p>
      <w:pPr>
        <w:pStyle w:val="ListParagraph"/>
        <w:numPr>
          <w:ilvl w:val="0"/>
          <w:numId w:val="14"/>
        </w:numPr>
        <w:spacing w:after="40"/>
      </w:pPr>
      <w:r>
        <w:t xml:space="preserve">Make sure each employee has three details on their profile: labour card number, IBAN, and their own bank routing code (HR → Employees → open the employee → Banking).</w:t>
      </w:r>
    </w:p>
    <w:p>
      <w:pPr>
        <w:pStyle w:val="ListParagraph"/>
        <w:numPr>
          <w:ilvl w:val="0"/>
          <w:numId w:val="14"/>
        </w:numPr>
        <w:spacing w:after="40"/>
      </w:pPr>
      <w:r>
        <w:t xml:space="preserve">Open a payroll run and click “Download WPS file”.</w:t>
      </w:r>
    </w:p>
    <w:p>
      <w:pPr>
        <w:pStyle w:val="ListParagraph"/>
        <w:numPr>
          <w:ilvl w:val="0"/>
          <w:numId w:val="14"/>
        </w:numPr>
        <w:spacing w:after="40"/>
      </w:pPr>
      <w:r>
        <w:t xml:space="preserve">Upload the downloaded .sif file to your bank’s portal.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anyone is missing a labour card number, IBAN or routing code, the system names them for you — and still produces the file for everyone else, so one incomplete record never holds up the whole payroll.</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13: Leave requests and balances</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15"/>
        </w:numPr>
        <w:spacing w:after="40"/>
      </w:pPr>
      <w:r>
        <w:t xml:space="preserve">Open HR → Attendance and check the date at the top.</w:t>
      </w:r>
    </w:p>
    <w:p>
      <w:pPr>
        <w:pStyle w:val="ListParagraph"/>
        <w:numPr>
          <w:ilvl w:val="0"/>
          <w:numId w:val="15"/>
        </w:numPr>
        <w:spacing w:after="40"/>
      </w:pPr>
      <w:r>
        <w:t xml:space="preserve">Use the department chips to filter to your crew if needed.</w:t>
      </w:r>
    </w:p>
    <w:p>
      <w:pPr>
        <w:pStyle w:val="ListParagraph"/>
        <w:numPr>
          <w:ilvl w:val="0"/>
          <w:numId w:val="15"/>
        </w:numPr>
        <w:spacing w:after="40"/>
      </w:pPr>
      <w:r>
        <w:t xml:space="preserve">Tap A (Absent), L (Leave), ½ (Half-day) or Off only for people who are not fully present.</w:t>
      </w:r>
    </w:p>
    <w:p>
      <w:pPr>
        <w:pStyle w:val="ListParagraph"/>
        <w:numPr>
          <w:ilvl w:val="0"/>
          <w:numId w:val="15"/>
        </w:numPr>
        <w:spacing w:after="40"/>
      </w:pPr>
      <w:r>
        <w:t xml:space="preserve">Click Save muster.</w:t>
      </w:r>
    </w:p>
    <w:p>
      <w:pPr>
        <w:spacing w:after="20" w:before="1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14: The Daily Muster</w:t>
      </w:r>
    </w:p>
    <w:p>
      <w:pPr>
        <w:pStyle w:val="Heading3"/>
        <w:spacing w:after="80" w:before="180"/>
      </w:pPr>
      <w:r>
        <w:t xml:space="preserve">Importing from a punch machine</w:t>
      </w:r>
    </w:p>
    <w:p>
      <w:pPr>
        <w:pStyle w:val="ListParagraph"/>
        <w:numPr>
          <w:ilvl w:val="0"/>
          <w:numId w:val="16"/>
        </w:numPr>
        <w:spacing w:after="40"/>
      </w:pPr>
      <w:r>
        <w:t xml:space="preserve">Give each employee their device enrolment number in the Biometric ID field on their profile.</w:t>
      </w:r>
    </w:p>
    <w:p>
      <w:pPr>
        <w:pStyle w:val="ListParagraph"/>
        <w:numPr>
          <w:ilvl w:val="0"/>
          <w:numId w:val="16"/>
        </w:numPr>
        <w:spacing w:after="40"/>
      </w:pPr>
      <w:r>
        <w:t xml:space="preserve">Export the day's punch log from your biometric device (CSV or text).</w:t>
      </w:r>
    </w:p>
    <w:p>
      <w:pPr>
        <w:pStyle w:val="ListParagraph"/>
        <w:numPr>
          <w:ilvl w:val="0"/>
          <w:numId w:val="16"/>
        </w:numPr>
        <w:spacing w:after="40"/>
      </w:pPr>
      <w:r>
        <w:t xml:space="preserve">On HR → Attendance use Import from punch machine to upload it.</w:t>
      </w:r>
    </w:p>
    <w:p>
      <w:pPr>
        <w:pStyle w:val="ListParagraph"/>
        <w:numPr>
          <w:ilvl w:val="0"/>
          <w:numId w:val="16"/>
        </w:numPr>
        <w:spacing w:after="40"/>
      </w:pPr>
      <w:r>
        <w:t xml:space="preserve">The system matches each punch to an employee, takes first-in / last-out, and fills their hours and status. Any unmatched device IDs are listed so you can fix them.</w:t>
      </w:r>
    </w:p>
    <w:p>
      <w:pPr>
        <w:spacing w:after="20" w:before="10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15: Import from punch machine</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spacing w:after="2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16: Certifications with expiry status</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17"/>
        </w:numPr>
        <w:spacing w:after="40"/>
      </w:pPr>
      <w:r>
        <w:t xml:space="preserve">Open HR → Separation. Choose the employee and their last working day, and select Resignation or Termination.</w:t>
      </w:r>
    </w:p>
    <w:p>
      <w:pPr>
        <w:pStyle w:val="ListParagraph"/>
        <w:numPr>
          <w:ilvl w:val="0"/>
          <w:numId w:val="17"/>
        </w:numPr>
        <w:spacing w:after="40"/>
      </w:pPr>
      <w:r>
        <w:t xml:space="preserve">Review the live settlement on the right: gratuity, leave encashment and the net amount update as you type.</w:t>
      </w:r>
    </w:p>
    <w:p>
      <w:pPr>
        <w:pStyle w:val="ListParagraph"/>
        <w:numPr>
          <w:ilvl w:val="0"/>
          <w:numId w:val="17"/>
        </w:numPr>
        <w:spacing w:after="40"/>
      </w:pPr>
      <w:r>
        <w:t xml:space="preserve">Add any pending salary, notice pay, air ticket, deductions, or a manual adjustment (with a note).</w:t>
      </w:r>
    </w:p>
    <w:p>
      <w:pPr>
        <w:pStyle w:val="ListParagraph"/>
        <w:numPr>
          <w:ilvl w:val="0"/>
          <w:numId w:val="17"/>
        </w:numPr>
        <w:spacing w:after="40"/>
      </w:pPr>
      <w:r>
        <w:t xml:space="preserve">Click Record separation &amp; settlement. The employee is marked inactive and the settlement statement is stored.</w:t>
      </w:r>
    </w:p>
    <w:p>
      <w:pPr>
        <w:spacing w:after="2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9813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17: Separation &amp; Settlement with the live calculation</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18"/>
        </w:numPr>
        <w:spacing w:after="40"/>
      </w:pPr>
      <w:r>
        <w:t xml:space="preserve">In the Settlement records list, click Statement on the row.</w:t>
      </w:r>
    </w:p>
    <w:p>
      <w:pPr>
        <w:pStyle w:val="ListParagraph"/>
        <w:numPr>
          <w:ilvl w:val="0"/>
          <w:numId w:val="18"/>
        </w:numPr>
        <w:spacing w:after="40"/>
      </w:pPr>
      <w:r>
        <w:t xml:space="preserve">The full &amp; final settlement statement opens, ready to print.</w:t>
      </w:r>
    </w:p>
    <w:p>
      <w:pPr>
        <w:pStyle w:val="ListParagraph"/>
        <w:numPr>
          <w:ilvl w:val="0"/>
          <w:numId w:val="18"/>
        </w:numPr>
        <w:spacing w:after="40"/>
      </w:pPr>
      <w:r>
        <w:t xml:space="preserve">Click Print / Save as PDF, then print for signature or save the PDF.</w:t>
      </w:r>
    </w:p>
    <w:p>
      <w:pPr>
        <w:spacing w:after="20" w:before="10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910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18: The Full &amp; Final Settlement Statement (print view)</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spacing w:after="20" w:before="100"/>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337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19: The Compliance &amp; Expiry report</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20: Job Assignments</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19"/>
        </w:numPr>
        <w:spacing w:after="40"/>
      </w:pPr>
      <w:r>
        <w:t xml:space="preserve">Open Approvals — requests waiting for your sign-off are listed.</w:t>
      </w:r>
    </w:p>
    <w:p>
      <w:pPr>
        <w:pStyle w:val="ListParagraph"/>
        <w:numPr>
          <w:ilvl w:val="0"/>
          <w:numId w:val="19"/>
        </w:numPr>
        <w:spacing w:after="40"/>
      </w:pPr>
      <w:r>
        <w:t xml:space="preserve">Review the details and choose Approve or Reject.</w:t>
      </w:r>
    </w:p>
    <w:p>
      <w:pPr>
        <w:pStyle w:val="ListParagraph"/>
        <w:numPr>
          <w:ilvl w:val="0"/>
          <w:numId w:val="19"/>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spacing w:after="20" w:before="1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956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21: The Approvals inbox</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spacing w:after="20" w:before="10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22: Users &amp; Roles with the security controls</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20"/>
        </w:numPr>
        <w:spacing w:after="40"/>
      </w:pPr>
      <w:r>
        <w:t xml:space="preserve">Open Administration → Access Control and find the role.</w:t>
      </w:r>
    </w:p>
    <w:p>
      <w:pPr>
        <w:pStyle w:val="ListParagraph"/>
        <w:numPr>
          <w:ilvl w:val="0"/>
          <w:numId w:val="20"/>
        </w:numPr>
        <w:spacing w:after="40"/>
      </w:pPr>
      <w:r>
        <w:t xml:space="preserve">Click a module to expand it into its individual screens.</w:t>
      </w:r>
    </w:p>
    <w:p>
      <w:pPr>
        <w:pStyle w:val="ListParagraph"/>
        <w:numPr>
          <w:ilvl w:val="0"/>
          <w:numId w:val="20"/>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23: Access Control — a module expanded into screens</w:t>
      </w:r>
    </w:p>
    <w:p>
      <w:pPr>
        <w:pStyle w:val="Heading3"/>
        <w:spacing w:after="80" w:before="180"/>
      </w:pPr>
      <w:r>
        <w:t xml:space="preserve">What each right means</w:t>
      </w:r>
    </w:p>
    <w:p>
      <w:pPr>
        <w:pStyle w:val="ListParagraph"/>
        <w:numPr>
          <w:ilvl w:val="0"/>
          <w:numId w:val="2"/>
        </w:numPr>
        <w:spacing w:after="40"/>
      </w:pPr>
      <w:r>
        <w:t xml:space="preserve">View — open the screen and read what is on it.</w:t>
      </w:r>
    </w:p>
    <w:p>
      <w:pPr>
        <w:pStyle w:val="ListParagraph"/>
        <w:numPr>
          <w:ilvl w:val="0"/>
          <w:numId w:val="2"/>
        </w:numPr>
        <w:spacing w:after="40"/>
      </w:pPr>
      <w:r>
        <w:t xml:space="preserve">Create — add new records on that screen.</w:t>
      </w:r>
    </w:p>
    <w:p>
      <w:pPr>
        <w:pStyle w:val="ListParagraph"/>
        <w:numPr>
          <w:ilvl w:val="0"/>
          <w:numId w:val="2"/>
        </w:numPr>
        <w:spacing w:after="40"/>
      </w:pPr>
      <w:r>
        <w:t xml:space="preserve">Edit — change existing records.</w:t>
      </w:r>
    </w:p>
    <w:p>
      <w:pPr>
        <w:pStyle w:val="ListParagraph"/>
        <w:numPr>
          <w:ilvl w:val="0"/>
          <w:numId w:val="2"/>
        </w:numPr>
        <w:spacing w:after="40"/>
      </w:pPr>
      <w:r>
        <w:t xml:space="preserve">Delete — remove records.</w:t>
      </w:r>
    </w:p>
    <w:p>
      <w:pPr>
        <w:pStyle w:val="ListParagraph"/>
        <w:numPr>
          <w:ilvl w:val="0"/>
          <w:numId w:val="2"/>
        </w:numPr>
        <w:spacing w:after="40"/>
      </w:pPr>
      <w:r>
        <w:t xml:space="preserve">Approve — sign off items that need a decision, such as leave or a payroll run.</w:t>
      </w:r>
    </w:p>
    <w:p>
      <w:pPr>
        <w:spacing w:after="120"/>
      </w:pPr>
      <w:r>
        <w:t xml:space="preserve">These are separate on purpose. A project manager may be allowed to look at the employee list without being allowed to change it, and an accounts clerk may post journals without being allowed to delete accounts. Being able to see a figure does not make someone able to change it — which is what keeps payroll, settlements and journals trustworthy.</w:t>
      </w:r>
    </w:p>
    <w:p>
      <w:pPr>
        <w:pStyle w:val="Heading3"/>
        <w:spacing w:after="80" w:before="180"/>
      </w:pPr>
      <w:r>
        <w:t xml:space="preserve">What users experience</w:t>
      </w:r>
    </w:p>
    <w:p>
      <w:pPr>
        <w:pStyle w:val="ListParagraph"/>
        <w:numPr>
          <w:ilvl w:val="0"/>
          <w:numId w:val="2"/>
        </w:numPr>
        <w:spacing w:after="40"/>
      </w:pPr>
      <w:r>
        <w:t xml:space="preserve">If a role has no access to a screen, it does not appear in their sidebar, and typing the address simply returns them to their dashboard.</w:t>
      </w:r>
    </w:p>
    <w:p>
      <w:pPr>
        <w:pStyle w:val="ListParagraph"/>
        <w:numPr>
          <w:ilvl w:val="0"/>
          <w:numId w:val="2"/>
        </w:numPr>
        <w:spacing w:after="40"/>
      </w:pPr>
      <w:r>
        <w:t xml:space="preserve">If a role can view a screen but not change it, the buttons they may not use are not displayed at all — rather than appearing and then refusing.</w:t>
      </w:r>
    </w:p>
    <w:p>
      <w:pPr>
        <w:pStyle w:val="ListParagraph"/>
        <w:numPr>
          <w:ilvl w:val="0"/>
          <w:numId w:val="2"/>
        </w:numPr>
        <w:spacing w:after="40"/>
      </w:pPr>
      <w:r>
        <w:t xml:space="preserve">The same rules are enforced behind the screen as well, so nothing can be reached by going around the menu.</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24: Notifications &amp; alerts</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spacing w:after="20" w:before="10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25: The Help Center</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666c5791cdc2c941b479a017922946ee5f3853.png"/><Relationship Id="rId8" Type="http://schemas.openxmlformats.org/officeDocument/2006/relationships/image" Target="media/49f567e4a038153d9140054a733ac9d69153550c.png"/><Relationship Id="rId9" Type="http://schemas.openxmlformats.org/officeDocument/2006/relationships/image" Target="media/5b2803188ed13731fc55fd84c9cf26a3ce2be14c.png"/><Relationship Id="rId10" Type="http://schemas.openxmlformats.org/officeDocument/2006/relationships/image" Target="media/05ee0d4929e02ef2da008ad8e9b5df7e01f5a42f.png"/><Relationship Id="rId11" Type="http://schemas.openxmlformats.org/officeDocument/2006/relationships/image" Target="media/b0ef916b3997f245b33dc7fd98e257804ae29f66.png"/><Relationship Id="rId12" Type="http://schemas.openxmlformats.org/officeDocument/2006/relationships/image" Target="media/9fd51cd720130ba60cde0a5f054fb2b89071c299.png"/><Relationship Id="rId13" Type="http://schemas.openxmlformats.org/officeDocument/2006/relationships/image" Target="media/0fb11e46f4aee70a58f20d8e0d7f0181a36429da.png"/><Relationship Id="rId14" Type="http://schemas.openxmlformats.org/officeDocument/2006/relationships/image" Target="media/9930f8f5c0a4936ea3ade3b7d5bba1911c6f33db.png"/><Relationship Id="rId15" Type="http://schemas.openxmlformats.org/officeDocument/2006/relationships/image" Target="media/844c3b6f94849e5b7303914f7d6a54edaf4f1c55.png"/><Relationship Id="rId16" Type="http://schemas.openxmlformats.org/officeDocument/2006/relationships/image" Target="media/19782f1390b1022e0dd16a755ab297a260a17525.png"/><Relationship Id="rId17" Type="http://schemas.openxmlformats.org/officeDocument/2006/relationships/image" Target="media/33cc08f2a3d765e22b5e47d885c3801bfcb87294.png"/><Relationship Id="rId18" Type="http://schemas.openxmlformats.org/officeDocument/2006/relationships/image" Target="media/66dea558a7a74ef1efbba95b186468e922bb0570.png"/><Relationship Id="rId19" Type="http://schemas.openxmlformats.org/officeDocument/2006/relationships/image" Target="media/8a03666be7b3f85b9bb6b7437bff5efed27d8e73.png"/><Relationship Id="rId20" Type="http://schemas.openxmlformats.org/officeDocument/2006/relationships/image" Target="media/5df8943294918f04efd35fb101663ca21d334a5f.png"/><Relationship Id="rId21" Type="http://schemas.openxmlformats.org/officeDocument/2006/relationships/image" Target="media/f3b3b55594bc91808b8b4bc44d76626a45efd77f.png"/><Relationship Id="rId22" Type="http://schemas.openxmlformats.org/officeDocument/2006/relationships/image" Target="media/e77e0fb9186a19b89a39b2a936a5719b33e22413.png"/><Relationship Id="rId23" Type="http://schemas.openxmlformats.org/officeDocument/2006/relationships/image" Target="media/20e762818b2296d0a2a2968680ad8ba760521a61.png"/><Relationship Id="rId24" Type="http://schemas.openxmlformats.org/officeDocument/2006/relationships/image" Target="media/ecc90b7e5ab3450ba7fab7e449ecc02718988ebd.png"/><Relationship Id="rId25" Type="http://schemas.openxmlformats.org/officeDocument/2006/relationships/image" Target="media/bf305115847c9a9c052ff8c7886cb33563c4f439.png"/><Relationship Id="rId26" Type="http://schemas.openxmlformats.org/officeDocument/2006/relationships/image" Target="media/400169897242f15ea86bde42d338ad3d3ea6ddfd.png"/><Relationship Id="rId27" Type="http://schemas.openxmlformats.org/officeDocument/2006/relationships/image" Target="media/cfed71f4db24050e3d2d165e72e0be5c9ff390cd.png"/><Relationship Id="rId28" Type="http://schemas.openxmlformats.org/officeDocument/2006/relationships/image" Target="media/ca92f3cd2c9b9051c1812372ce0899d361dbcd73.png"/><Relationship Id="rId29" Type="http://schemas.openxmlformats.org/officeDocument/2006/relationships/image" Target="media/10bb3fb143d5cd06b6d18c0f98d012579d59db2e.png"/><Relationship Id="rId30" Type="http://schemas.openxmlformats.org/officeDocument/2006/relationships/image" Target="media/32d3075ed706dfd8a5df98f65ab6a3f67adcf5c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2026-09-04T12:26:27.043Z</dcterms:created>
  <dcterms:modified xsi:type="dcterms:W3CDTF">2026-09-04T12:26:27.043Z</dcterms:modified>
</cp:coreProperties>
</file>

<file path=docProps/custom.xml><?xml version="1.0" encoding="utf-8"?>
<Properties xmlns="http://schemas.openxmlformats.org/officeDocument/2006/custom-properties" xmlns:vt="http://schemas.openxmlformats.org/officeDocument/2006/docPropsVTypes"/>
</file>