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023E71"/>
          <w:sz w:val="56"/>
          <w:szCs w:val="56"/>
        </w:rPr>
        <w:t xml:space="preserve">White &amp; Bright Group</w:t>
      </w:r>
    </w:p>
    <w:p>
      <w:pPr>
        <w:spacing w:after="40"/>
        <w:jc w:val="center"/>
      </w:pPr>
      <w:r>
        <w:rPr>
          <w:color w:val="4E9448"/>
          <w:sz w:val="30"/>
          <w:szCs w:val="30"/>
        </w:rPr>
        <w:t xml:space="preserve">Enterprise Resource Planning (ERP)</w:t>
      </w:r>
    </w:p>
    <w:p>
      <w:pPr>
        <w:spacing w:before="240"/>
        <w:jc w:val="center"/>
      </w:pPr>
      <w:r>
        <w:rPr>
          <w:b/>
          <w:bCs/>
          <w:color w:val="023E71"/>
          <w:sz w:val="40"/>
          <w:szCs w:val="40"/>
        </w:rPr>
        <w:t xml:space="preserve">END-USER MANUAL</w:t>
      </w:r>
    </w:p>
    <w:p>
      <w:pPr>
        <w:spacing w:before="120"/>
        <w:jc w:val="center"/>
      </w:pPr>
      <w:r>
        <w:rPr>
          <w:color w:val="667788"/>
          <w:sz w:val="24"/>
          <w:szCs w:val="24"/>
        </w:rPr>
        <w:t xml:space="preserve">Phase 1 — Platform, Finance &amp; Human Resources</w:t>
      </w:r>
    </w:p>
    <w:p>
      <w:pPr>
        <w:spacing w:before="1400"/>
        <w:jc w:val="center"/>
      </w:pPr>
      <w:r>
        <w:rPr>
          <w:color w:val="667788"/>
          <w:sz w:val="22"/>
          <w:szCs w:val="22"/>
        </w:rPr>
        <w:t xml:space="preserve">Version 1.5</w:t>
      </w:r>
    </w:p>
    <w:p>
      <w:pPr>
        <w:jc w:val="center"/>
      </w:pPr>
      <w:r>
        <w:rPr>
          <w:i/>
          <w:iCs/>
          <w:color w:val="667788"/>
          <w:sz w:val="20"/>
          <w:szCs w:val="20"/>
        </w:rPr>
        <w:t xml:space="preserve">Confidential — for authorised users only</w:t>
      </w:r>
    </w:p>
    <w:p>
      <w:r>
        <w:br w:type="page"/>
      </w:r>
    </w:p>
    <w:p>
      <w:pPr>
        <w:pStyle w:val="Heading1"/>
        <w:spacing w:after="140" w:before="3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t xml:space="preserve">1. Introduction</w:t>
      </w:r>
    </w:p>
    <w:p>
      <w:pPr>
        <w:spacing w:after="120"/>
      </w:pPr>
      <w:r>
        <w:t xml:space="preserve">Welcome to the White &amp; Bright Group ERP — a single, secure platform that runs the group's Finance, Human Resources and day-to-day operations across all its companies. This manual explains, in plain language, how to use every screen you will work with. No prior finance or HR-software experience is needed.</w:t>
      </w:r>
    </w:p>
    <w:p>
      <w:pPr>
        <w:pStyle w:val="Heading2"/>
        <w:spacing w:after="100" w:before="240"/>
      </w:pPr>
      <w:r>
        <w:t xml:space="preserve">1.1 What you can do</w:t>
      </w:r>
    </w:p>
    <w:p>
      <w:pPr>
        <w:pStyle w:val="ListParagraph"/>
        <w:numPr>
          <w:ilvl w:val="0"/>
          <w:numId w:val="2"/>
        </w:numPr>
        <w:spacing w:after="40"/>
      </w:pPr>
      <w:r>
        <w:t xml:space="preserve">See the health of the group at a glance on the Dashboard.</w:t>
      </w:r>
    </w:p>
    <w:p>
      <w:pPr>
        <w:pStyle w:val="ListParagraph"/>
        <w:numPr>
          <w:ilvl w:val="0"/>
          <w:numId w:val="2"/>
        </w:numPr>
        <w:spacing w:after="40"/>
      </w:pPr>
      <w:r>
        <w:t xml:space="preserve">Keep the books: record transactions, view ledgers, and produce Profit &amp; Loss, Balance Sheet and VAT reports.</w:t>
      </w:r>
    </w:p>
    <w:p>
      <w:pPr>
        <w:pStyle w:val="ListParagraph"/>
        <w:numPr>
          <w:ilvl w:val="0"/>
          <w:numId w:val="2"/>
        </w:numPr>
        <w:spacing w:after="40"/>
      </w:pPr>
      <w:r>
        <w:t xml:space="preserve">Manage people end-to-end: employees, onboarding, payroll, leave, attendance, certifications, compliance and end-of-service settlements.</w:t>
      </w:r>
    </w:p>
    <w:p>
      <w:pPr>
        <w:pStyle w:val="ListParagraph"/>
        <w:numPr>
          <w:ilvl w:val="0"/>
          <w:numId w:val="2"/>
        </w:numPr>
        <w:spacing w:after="40"/>
      </w:pPr>
      <w:r>
        <w:t xml:space="preserve">Run payroll with salary advances recovered automatically, and produce the UAE WPS file your bank needs to pay everyone.</w:t>
      </w:r>
    </w:p>
    <w:p>
      <w:pPr>
        <w:pStyle w:val="ListParagraph"/>
        <w:numPr>
          <w:ilvl w:val="0"/>
          <w:numId w:val="2"/>
        </w:numPr>
        <w:spacing w:after="40"/>
      </w:pPr>
      <w:r>
        <w:t xml:space="preserve">Send and approve requests through the group's sign-off levels.</w:t>
      </w:r>
    </w:p>
    <w:p>
      <w:pPr>
        <w:pStyle w:val="ListParagraph"/>
        <w:numPr>
          <w:ilvl w:val="0"/>
          <w:numId w:val="2"/>
        </w:numPr>
        <w:spacing w:after="40"/>
      </w:pPr>
      <w:r>
        <w:t xml:space="preserve">Get alerts before visas, Emirates IDs, labour cards or certificates expire.</w:t>
      </w:r>
    </w:p>
    <w:p>
      <w:pPr>
        <w:pStyle w:val="Heading2"/>
        <w:spacing w:after="100" w:before="240"/>
      </w:pPr>
      <w:r>
        <w:t xml:space="preserve">1.2 Who should read this</w:t>
      </w:r>
    </w:p>
    <w:p>
      <w:pPr>
        <w:spacing w:after="120"/>
      </w:pPr>
      <w:r>
        <w:t xml:space="preserve">Anyone who logs in to the system — administrators, finance staff, HR staff, managers, storekeepers, site timekeepers and approvers. You will only see the screens your role is allowed to open, so some sections of this manual may not apply to you.</w:t>
      </w:r>
    </w:p>
    <w:p>
      <w:pPr>
        <w:pBdr>
          <w:top w:val="single" w:color="B8860B" w:sz="2"/>
          <w:bottom w:val="single" w:color="B8860B" w:sz="2"/>
          <w:left w:val="single" w:color="B8860B" w:sz="12"/>
          <w:right w:val="single" w:color="B8860B" w:sz="2"/>
        </w:pBdr>
        <w:shd w:fill="FBF3DA" w:val="clear"/>
        <w:spacing w:after="140" w:before="60"/>
      </w:pPr>
      <w:r>
        <w:rPr>
          <w:b/>
          <w:bCs/>
          <w:color w:val="B8860B"/>
        </w:rPr>
        <w:t xml:space="preserve">Tip  </w:t>
      </w:r>
      <w:r>
        <w:t xml:space="preserve">On any screen you can click the “?” icon in the top bar for help about that exact page, or open the full Help Center from the sidebar.</w:t>
      </w:r>
    </w:p>
    <w:p>
      <w:r>
        <w:br w:type="page"/>
      </w:r>
    </w:p>
    <w:p>
      <w:pPr>
        <w:pStyle w:val="Heading1"/>
        <w:spacing w:after="140" w:before="320"/>
      </w:pPr>
      <w:r>
        <w:t xml:space="preserve">2. Getting Started</w:t>
      </w:r>
    </w:p>
    <w:p>
      <w:pPr>
        <w:pStyle w:val="Heading2"/>
        <w:spacing w:after="100" w:before="240"/>
      </w:pPr>
      <w:r>
        <w:t xml:space="preserve">2.1 Signing in</w:t>
      </w:r>
    </w:p>
    <w:p>
      <w:pPr>
        <w:pStyle w:val="ListParagraph"/>
        <w:numPr>
          <w:ilvl w:val="0"/>
          <w:numId w:val="3"/>
        </w:numPr>
        <w:spacing w:after="40"/>
      </w:pPr>
      <w:r>
        <w:t xml:space="preserve">Open the ERP web address in your browser (your administrator will provide the link).</w:t>
      </w:r>
    </w:p>
    <w:p>
      <w:pPr>
        <w:pStyle w:val="ListParagraph"/>
        <w:numPr>
          <w:ilvl w:val="0"/>
          <w:numId w:val="3"/>
        </w:numPr>
        <w:spacing w:after="40"/>
      </w:pPr>
      <w:r>
        <w:t xml:space="preserve">Enter your email address and password.</w:t>
      </w:r>
    </w:p>
    <w:p>
      <w:pPr>
        <w:pStyle w:val="ListParagraph"/>
        <w:numPr>
          <w:ilvl w:val="0"/>
          <w:numId w:val="3"/>
        </w:numPr>
        <w:spacing w:after="40"/>
      </w:pPr>
      <w:r>
        <w:t xml:space="preserve">Click Sign in. You will land on the Dashboard.</w:t>
      </w:r>
    </w:p>
    <w:p>
      <w:pPr>
        <w:spacing w:after="20" w:before="10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857500"/>
                    </a:xfrm>
                    <a:prstGeom prst="rect">
                      <a:avLst/>
                    </a:prstGeom>
                  </pic:spPr>
                </pic:pic>
              </a:graphicData>
            </a:graphic>
          </wp:inline>
        </w:drawing>
      </w:r>
    </w:p>
    <w:p>
      <w:pPr>
        <w:pBdr>
          <w:bottom w:val="single" w:color="EEF3F9" w:sz="2"/>
        </w:pBdr>
        <w:spacing w:after="200"/>
        <w:jc w:val="center"/>
      </w:pPr>
      <w:r>
        <w:rPr>
          <w:i/>
          <w:iCs/>
          <w:color w:val="667788"/>
          <w:sz w:val="16"/>
          <w:szCs w:val="16"/>
        </w:rPr>
        <w:t xml:space="preserve">Figure 1: The sign-in screen</w:t>
      </w:r>
    </w:p>
    <w:p>
      <w:pPr>
        <w:pBdr>
          <w:top w:val="single" w:color="B8860B" w:sz="2"/>
          <w:bottom w:val="single" w:color="B8860B" w:sz="2"/>
          <w:left w:val="single" w:color="B8860B" w:sz="12"/>
          <w:right w:val="single" w:color="B8860B" w:sz="2"/>
        </w:pBdr>
        <w:shd w:fill="FBF3DA" w:val="clear"/>
        <w:spacing w:after="140" w:before="60"/>
      </w:pPr>
      <w:r>
        <w:rPr>
          <w:b/>
          <w:bCs/>
          <w:color w:val="B8860B"/>
        </w:rPr>
        <w:t xml:space="preserve">Tip  </w:t>
      </w:r>
      <w:r>
        <w:t xml:space="preserve">Entering the wrong password three times locks the account for 15 minutes. If that happens, wait or ask an administrator to unlock it.</w:t>
      </w:r>
    </w:p>
    <w:p>
      <w:pPr>
        <w:pStyle w:val="Heading2"/>
        <w:spacing w:after="100" w:before="240"/>
      </w:pPr>
      <w:r>
        <w:t xml:space="preserve">2.2 Finding your way around</w:t>
      </w:r>
    </w:p>
    <w:p>
      <w:pPr>
        <w:spacing w:after="120"/>
      </w:pPr>
      <w:r>
        <w:t xml:space="preserve">The screen has three main areas: the left sidebar (modules you can open, grouped by area), the top bar (company switcher, search, the “?” help button, the notifications bell and your account menu), and the main working area.</w:t>
      </w:r>
    </w:p>
    <w:p>
      <w:pPr>
        <w:spacing w:after="20" w:before="100"/>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76575"/>
                    </a:xfrm>
                    <a:prstGeom prst="rect">
                      <a:avLst/>
                    </a:prstGeom>
                  </pic:spPr>
                </pic:pic>
              </a:graphicData>
            </a:graphic>
          </wp:inline>
        </w:drawing>
      </w:r>
    </w:p>
    <w:p>
      <w:pPr>
        <w:pBdr>
          <w:bottom w:val="single" w:color="EEF3F9" w:sz="2"/>
        </w:pBdr>
        <w:spacing w:after="200"/>
        <w:jc w:val="center"/>
      </w:pPr>
      <w:r>
        <w:rPr>
          <w:i/>
          <w:iCs/>
          <w:color w:val="667788"/>
          <w:sz w:val="16"/>
          <w:szCs w:val="16"/>
        </w:rPr>
        <w:t xml:space="preserve">Figure 2: The Dashboard — sidebar (left), top bar (top) and main area</w:t>
      </w:r>
    </w:p>
    <w:p>
      <w:pPr>
        <w:pStyle w:val="Heading2"/>
        <w:spacing w:after="100" w:before="240"/>
      </w:pPr>
      <w:r>
        <w:t xml:space="preserve">2.3 Switching between companies</w:t>
      </w:r>
    </w:p>
    <w:p>
      <w:pPr>
        <w:spacing w:after="120"/>
      </w:pPr>
      <w:r>
        <w:t xml:space="preserve">The group has several companies, each with its own books and records. Use the dropdown at the top-left (for example, “WB Engineering”) to choose which company you are viewing. If a screen looks empty, check you are on the right company.</w:t>
      </w:r>
    </w:p>
    <w:p>
      <w:pPr>
        <w:pStyle w:val="Heading2"/>
        <w:spacing w:after="100" w:before="240"/>
      </w:pPr>
      <w:r>
        <w:t xml:space="preserve">2.4 Your account &amp; password</w:t>
      </w:r>
    </w:p>
    <w:p>
      <w:pPr>
        <w:pStyle w:val="ListParagraph"/>
        <w:numPr>
          <w:ilvl w:val="0"/>
          <w:numId w:val="4"/>
        </w:numPr>
        <w:spacing w:after="40"/>
      </w:pPr>
      <w:r>
        <w:t xml:space="preserve">Click your name (top-right) and choose My Account &amp; Password.</w:t>
      </w:r>
    </w:p>
    <w:p>
      <w:pPr>
        <w:pStyle w:val="ListParagraph"/>
        <w:numPr>
          <w:ilvl w:val="0"/>
          <w:numId w:val="4"/>
        </w:numPr>
        <w:spacing w:after="40"/>
      </w:pPr>
      <w:r>
        <w:t xml:space="preserve">To change your password, enter your current password and your new password twice, then Save.</w:t>
      </w:r>
    </w:p>
    <w:p>
      <w:pPr>
        <w:pBdr>
          <w:top w:val="single" w:color="B8860B" w:sz="2"/>
          <w:bottom w:val="single" w:color="B8860B" w:sz="2"/>
          <w:left w:val="single" w:color="B8860B" w:sz="12"/>
          <w:right w:val="single" w:color="B8860B" w:sz="2"/>
        </w:pBdr>
        <w:shd w:fill="FBF3DA" w:val="clear"/>
        <w:spacing w:after="140" w:before="60"/>
      </w:pPr>
      <w:r>
        <w:rPr>
          <w:b/>
          <w:bCs/>
          <w:color w:val="B8860B"/>
        </w:rPr>
        <w:t xml:space="preserve">Tip  </w:t>
      </w:r>
      <w:r>
        <w:t xml:space="preserve">If an administrator resets your password, you will be asked to set a new one the next time you sign in.</w:t>
      </w:r>
    </w:p>
    <w:p>
      <w:pPr>
        <w:pStyle w:val="Heading2"/>
        <w:spacing w:after="100" w:before="240"/>
      </w:pPr>
      <w:r>
        <w:t xml:space="preserve">2.5 Day mode and night mode</w:t>
      </w:r>
    </w:p>
    <w:p>
      <w:pPr>
        <w:spacing w:after="120"/>
      </w:pPr>
      <w:r>
        <w:t xml:space="preserve">The sun / moon button in the top bar switches the whole app between its normal light appearance (day) and a dark one (night). Night mode is easier on the eyes in a dim office or late in the evening, and on a phone it uses less battery.</w:t>
      </w:r>
    </w:p>
    <w:p>
      <w:pPr>
        <w:pStyle w:val="ListParagraph"/>
        <w:numPr>
          <w:ilvl w:val="0"/>
          <w:numId w:val="5"/>
        </w:numPr>
        <w:spacing w:after="40"/>
      </w:pPr>
      <w:r>
        <w:t xml:space="preserve">Click the moon icon in the top bar to switch to night mode.</w:t>
      </w:r>
    </w:p>
    <w:p>
      <w:pPr>
        <w:pStyle w:val="ListParagraph"/>
        <w:numPr>
          <w:ilvl w:val="0"/>
          <w:numId w:val="5"/>
        </w:numPr>
        <w:spacing w:after="40"/>
      </w:pPr>
      <w:r>
        <w:t xml:space="preserve">Click the sun icon to switch back to day mode.</w:t>
      </w:r>
    </w:p>
    <w:p>
      <w:pPr>
        <w:pStyle w:val="ListParagraph"/>
        <w:numPr>
          <w:ilvl w:val="0"/>
          <w:numId w:val="5"/>
        </w:numPr>
        <w:spacing w:after="40"/>
      </w:pPr>
      <w:r>
        <w:t xml:space="preserve">Your choice is remembered on that device and applies to every screen.</w:t>
      </w:r>
    </w:p>
    <w:p>
      <w:pPr>
        <w:pBdr>
          <w:top w:val="single" w:color="B8860B" w:sz="2"/>
          <w:bottom w:val="single" w:color="B8860B" w:sz="2"/>
          <w:left w:val="single" w:color="B8860B" w:sz="12"/>
          <w:right w:val="single" w:color="B8860B" w:sz="2"/>
        </w:pBdr>
        <w:shd w:fill="FBF3DA" w:val="clear"/>
        <w:spacing w:after="140" w:before="60"/>
      </w:pPr>
      <w:r>
        <w:rPr>
          <w:b/>
          <w:bCs/>
          <w:color w:val="B8860B"/>
        </w:rPr>
        <w:t xml:space="preserve">Tip  </w:t>
      </w:r>
      <w:r>
        <w:t xml:space="preserve">If you have never chosen, the app follows your computer or phone’s own setting — so if your device turns dark in the evening, the ERP follows it. Printed documents, such as the settlement statement, always print on white paper whichever mode you are in.</w:t>
      </w:r>
    </w:p>
    <w:p>
      <w:pPr>
        <w:pStyle w:val="Heading2"/>
        <w:spacing w:after="100" w:before="240"/>
      </w:pPr>
      <w:r>
        <w:t xml:space="preserve">2.6 Using the app on a phone or tablet</w:t>
      </w:r>
    </w:p>
    <w:p>
      <w:pPr>
        <w:spacing w:after="120"/>
      </w:pPr>
      <w:r>
        <w:t xml:space="preserve">The ERP works on a phone and a tablet as well as a desktop. On smaller screens the menu is tucked away so the content gets the full width of the display.</w:t>
      </w:r>
    </w:p>
    <w:p>
      <w:pPr>
        <w:pStyle w:val="ListParagraph"/>
        <w:numPr>
          <w:ilvl w:val="0"/>
          <w:numId w:val="6"/>
        </w:numPr>
        <w:spacing w:after="40"/>
      </w:pPr>
      <w:r>
        <w:t xml:space="preserve">Tap the menu button at the top-left to slide the menu out.</w:t>
      </w:r>
    </w:p>
    <w:p>
      <w:pPr>
        <w:pStyle w:val="ListParagraph"/>
        <w:numPr>
          <w:ilvl w:val="0"/>
          <w:numId w:val="6"/>
        </w:numPr>
        <w:spacing w:after="40"/>
      </w:pPr>
      <w:r>
        <w:t xml:space="preserve">Tap a menu item, the X, or anywhere outside the menu to close it again.</w:t>
      </w:r>
    </w:p>
    <w:p>
      <w:pPr>
        <w:pStyle w:val="ListParagraph"/>
        <w:numPr>
          <w:ilvl w:val="0"/>
          <w:numId w:val="6"/>
        </w:numPr>
        <w:spacing w:after="40"/>
      </w:pPr>
      <w:r>
        <w:t xml:space="preserve">Wide tables scroll sideways inside their own box — swipe across them to see the remaining columns.</w:t>
      </w:r>
    </w:p>
    <w:p>
      <w:pPr>
        <w:pBdr>
          <w:top w:val="single" w:color="B8860B" w:sz="2"/>
          <w:bottom w:val="single" w:color="B8860B" w:sz="2"/>
          <w:left w:val="single" w:color="B8860B" w:sz="12"/>
          <w:right w:val="single" w:color="B8860B" w:sz="2"/>
        </w:pBdr>
        <w:shd w:fill="FBF3DA" w:val="clear"/>
        <w:spacing w:after="140" w:before="60"/>
      </w:pPr>
      <w:r>
        <w:rPr>
          <w:b/>
          <w:bCs/>
          <w:color w:val="B8860B"/>
        </w:rPr>
        <w:t xml:space="preserve">Tip  </w:t>
      </w:r>
      <w:r>
        <w:t xml:space="preserve">On a desktop nothing changes: the menu stays permanently on the left, and the arrow at the top of it still shrinks it to icons when you want more room.</w:t>
      </w:r>
    </w:p>
    <w:p>
      <w:r>
        <w:br w:type="page"/>
      </w:r>
    </w:p>
    <w:p>
      <w:pPr>
        <w:pStyle w:val="Heading1"/>
        <w:spacing w:after="140" w:before="320"/>
      </w:pPr>
      <w:r>
        <w:t xml:space="preserve">3. Dashboard</w:t>
      </w:r>
    </w:p>
    <w:p>
      <w:pPr>
        <w:spacing w:after="120"/>
      </w:pPr>
      <w:r>
        <w:t xml:space="preserve">The Dashboard is your home screen, and it arranges itself around your job. There is only one dashboard, but two people opening it may see quite different things — each panel appears only if you have access to the screen behind it.</w:t>
      </w:r>
    </w:p>
    <w:p>
      <w:pPr>
        <w:pStyle w:val="Heading2"/>
        <w:spacing w:after="100" w:before="240"/>
      </w:pPr>
      <w:r>
        <w:t xml:space="preserve">3.1 What you will see</w:t>
      </w:r>
    </w:p>
    <w:p>
      <w:pPr>
        <w:pStyle w:val="ListParagraph"/>
        <w:numPr>
          <w:ilvl w:val="0"/>
          <w:numId w:val="2"/>
        </w:numPr>
        <w:spacing w:after="40"/>
      </w:pPr>
      <w:r>
        <w:t xml:space="preserve">A group administrator sees everything, and the page is titled “Group Dashboard”.</w:t>
      </w:r>
    </w:p>
    <w:p>
      <w:pPr>
        <w:pStyle w:val="ListParagraph"/>
        <w:numPr>
          <w:ilvl w:val="0"/>
          <w:numId w:val="2"/>
        </w:numPr>
        <w:spacing w:after="40"/>
      </w:pPr>
      <w:r>
        <w:t xml:space="preserve">Someone with finance access only sees a “Finance Dashboard” — revenue, cash position, VAT and pending journals.</w:t>
      </w:r>
    </w:p>
    <w:p>
      <w:pPr>
        <w:pStyle w:val="ListParagraph"/>
        <w:numPr>
          <w:ilvl w:val="0"/>
          <w:numId w:val="2"/>
        </w:numPr>
        <w:spacing w:after="40"/>
      </w:pPr>
      <w:r>
        <w:t xml:space="preserve">Someone with HR access only sees an “HR Dashboard” — headcount, leave, expiring documents and job assignments.</w:t>
      </w:r>
    </w:p>
    <w:p>
      <w:pPr>
        <w:pStyle w:val="ListParagraph"/>
        <w:numPr>
          <w:ilvl w:val="0"/>
          <w:numId w:val="2"/>
        </w:numPr>
        <w:spacing w:after="40"/>
      </w:pPr>
      <w:r>
        <w:t xml:space="preserve">Someone whose role covers a single screen — a site timekeeper, for example — gets a short focused dashboard rather than a page of empty boxes.</w:t>
      </w:r>
    </w:p>
    <w:p>
      <w:pPr>
        <w:pStyle w:val="Heading2"/>
        <w:spacing w:after="100" w:before="240"/>
      </w:pPr>
      <w:r>
        <w:t xml:space="preserve">3.2 Panels</w:t>
      </w:r>
    </w:p>
    <w:p>
      <w:pPr>
        <w:pStyle w:val="ListParagraph"/>
        <w:numPr>
          <w:ilvl w:val="0"/>
          <w:numId w:val="2"/>
        </w:numPr>
        <w:spacing w:after="40"/>
      </w:pPr>
      <w:r>
        <w:t xml:space="preserve">KPI cards — Group Revenue (year to date), Cash Position, Open Approvals and Documents expiring within 60 days.</w:t>
      </w:r>
    </w:p>
    <w:p>
      <w:pPr>
        <w:pStyle w:val="ListParagraph"/>
        <w:numPr>
          <w:ilvl w:val="0"/>
          <w:numId w:val="2"/>
        </w:numPr>
        <w:spacing w:after="40"/>
      </w:pPr>
      <w:r>
        <w:t xml:space="preserve">Group Companies — the list of companies in the group.</w:t>
      </w:r>
    </w:p>
    <w:p>
      <w:pPr>
        <w:pStyle w:val="ListParagraph"/>
        <w:numPr>
          <w:ilvl w:val="0"/>
          <w:numId w:val="2"/>
        </w:numPr>
        <w:spacing w:after="40"/>
      </w:pPr>
      <w:r>
        <w:t xml:space="preserve">Getting started — a short checklist for new setups.</w:t>
      </w:r>
    </w:p>
    <w:p>
      <w:pPr>
        <w:spacing w:after="120"/>
      </w:pPr>
      <w:r>
        <w:t xml:space="preserve">Every figure on the dashboard is clickable and takes you straight to the records behind it.</w:t>
      </w:r>
    </w:p>
    <w:p>
      <w:pPr>
        <w:pBdr>
          <w:top w:val="single" w:color="B8860B" w:sz="2"/>
          <w:bottom w:val="single" w:color="B8860B" w:sz="2"/>
          <w:left w:val="single" w:color="B8860B" w:sz="12"/>
          <w:right w:val="single" w:color="B8860B" w:sz="2"/>
        </w:pBdr>
        <w:shd w:fill="FBF3DA" w:val="clear"/>
        <w:spacing w:after="140" w:before="60"/>
      </w:pPr>
      <w:r>
        <w:rPr>
          <w:b/>
          <w:bCs/>
          <w:color w:val="B8860B"/>
        </w:rPr>
        <w:t xml:space="preserve">Tip  </w:t>
      </w:r>
      <w:r>
        <w:t xml:space="preserve">There is nothing to configure. Grant or remove a screen for a role in Administration → Access Control and that user’s dashboard changes to match the next time they open it.</w:t>
      </w:r>
    </w:p>
    <w:p>
      <w:pPr>
        <w:spacing w:after="20" w:before="100"/>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76575"/>
                    </a:xfrm>
                    <a:prstGeom prst="rect">
                      <a:avLst/>
                    </a:prstGeom>
                  </pic:spPr>
                </pic:pic>
              </a:graphicData>
            </a:graphic>
          </wp:inline>
        </w:drawing>
      </w:r>
    </w:p>
    <w:p>
      <w:pPr>
        <w:pBdr>
          <w:bottom w:val="single" w:color="EEF3F9" w:sz="2"/>
        </w:pBdr>
        <w:spacing w:after="200"/>
        <w:jc w:val="center"/>
      </w:pPr>
      <w:r>
        <w:rPr>
          <w:i/>
          <w:iCs/>
          <w:color w:val="667788"/>
          <w:sz w:val="16"/>
          <w:szCs w:val="16"/>
        </w:rPr>
        <w:t xml:space="preserve">Figure 3: Dashboard KPI cards and group companies</w:t>
      </w:r>
    </w:p>
    <w:p>
      <w:r>
        <w:br w:type="page"/>
      </w:r>
    </w:p>
    <w:p>
      <w:pPr>
        <w:pStyle w:val="Heading1"/>
        <w:spacing w:after="140" w:before="320"/>
      </w:pPr>
      <w:r>
        <w:t xml:space="preserve">4. Finance &amp; Accounting</w:t>
      </w:r>
    </w:p>
    <w:p>
      <w:pPr>
        <w:spacing w:after="120"/>
      </w:pPr>
      <w:r>
        <w:t xml:space="preserve">The books for each company are kept separately and consolidated for the group. This chapter follows the order you would actually work in: set the books up, record who you trade with, post transactions, correct mistakes, then read the results.</w:t>
      </w:r>
    </w:p>
    <w:p>
      <w:pPr>
        <w:pStyle w:val="Heading2"/>
        <w:spacing w:after="100" w:before="240"/>
      </w:pPr>
      <w:r>
        <w:t xml:space="preserve">4.1 Key terms (plain English)</w:t>
      </w:r>
    </w:p>
    <w:p>
      <w:pPr>
        <w:pStyle w:val="ListParagraph"/>
        <w:numPr>
          <w:ilvl w:val="0"/>
          <w:numId w:val="2"/>
        </w:numPr>
        <w:spacing w:after="40"/>
      </w:pPr>
      <w:r>
        <w:t xml:space="preserve">Ledger (or account) — a bucket for one kind of money, such as “Cash at Bank” or “Salaries”.</w:t>
      </w:r>
    </w:p>
    <w:p>
      <w:pPr>
        <w:pStyle w:val="ListParagraph"/>
        <w:numPr>
          <w:ilvl w:val="0"/>
          <w:numId w:val="2"/>
        </w:numPr>
        <w:spacing w:after="40"/>
      </w:pPr>
      <w:r>
        <w:t xml:space="preserve">Voucher — one transaction. Every voucher has two sides, a debit and a credit, and they must be equal.</w:t>
      </w:r>
    </w:p>
    <w:p>
      <w:pPr>
        <w:pStyle w:val="ListParagraph"/>
        <w:numPr>
          <w:ilvl w:val="0"/>
          <w:numId w:val="2"/>
        </w:numPr>
        <w:spacing w:after="40"/>
      </w:pPr>
      <w:r>
        <w:t xml:space="preserve">Debit and credit — roughly: money arriving in something you own is a debit; money leaving it is a credit.</w:t>
      </w:r>
    </w:p>
    <w:p>
      <w:pPr>
        <w:pStyle w:val="ListParagraph"/>
        <w:numPr>
          <w:ilvl w:val="0"/>
          <w:numId w:val="2"/>
        </w:numPr>
        <w:spacing w:after="40"/>
      </w:pPr>
      <w:r>
        <w:t xml:space="preserve">Trial balance — every account with its balance. Total debits must equal total credits.</w:t>
      </w:r>
    </w:p>
    <w:p>
      <w:pPr>
        <w:pBdr>
          <w:top w:val="single" w:color="B8860B" w:sz="2"/>
          <w:bottom w:val="single" w:color="B8860B" w:sz="2"/>
          <w:left w:val="single" w:color="B8860B" w:sz="12"/>
          <w:right w:val="single" w:color="B8860B" w:sz="2"/>
        </w:pBdr>
        <w:shd w:fill="FBF3DA" w:val="clear"/>
        <w:spacing w:after="140" w:before="60"/>
      </w:pPr>
      <w:r>
        <w:rPr>
          <w:b/>
          <w:bCs/>
          <w:color w:val="B8860B"/>
        </w:rPr>
        <w:t xml:space="preserve">Tip  </w:t>
      </w:r>
      <w:r>
        <w:t xml:space="preserve">You do not need to be an accountant to use this. Choose the right voucher type and the system handles the debits and credits for you — and it will not let you save a voucher that does not balance.</w:t>
      </w:r>
    </w:p>
    <w:p>
      <w:pPr>
        <w:pStyle w:val="Heading2"/>
        <w:spacing w:after="100" w:before="240"/>
      </w:pPr>
      <w:r>
        <w:t xml:space="preserve">4.2 Opening balances — starting from your existing figures</w:t>
      </w:r>
    </w:p>
    <w:p>
      <w:pPr>
        <w:spacing w:after="120"/>
      </w:pPr>
      <w:r>
        <w:t xml:space="preserve">When you move onto this system your accounts already have balances — money in the bank, money customers owe you, money you owe suppliers. An opening balance is that starting figure. You enter it once per account and every report picks it up from then on. Without it the books would start from zero and none of your reports would be true.</w:t>
      </w:r>
    </w:p>
    <w:p>
      <w:pPr>
        <w:pStyle w:val="Heading3"/>
        <w:spacing w:after="80" w:before="180"/>
      </w:pPr>
      <w:r>
        <w:t xml:space="preserve">First, tell the system when the books opened</w:t>
      </w:r>
    </w:p>
    <w:p>
      <w:pPr>
        <w:pStyle w:val="ListParagraph"/>
        <w:numPr>
          <w:ilvl w:val="0"/>
          <w:numId w:val="7"/>
        </w:numPr>
        <w:spacing w:after="40"/>
      </w:pPr>
      <w:r>
        <w:t xml:space="preserve">Go to Companies &amp; Group and click the pencil on the company.</w:t>
      </w:r>
    </w:p>
    <w:p>
      <w:pPr>
        <w:pStyle w:val="ListParagraph"/>
        <w:numPr>
          <w:ilvl w:val="0"/>
          <w:numId w:val="7"/>
        </w:numPr>
        <w:spacing w:after="40"/>
      </w:pPr>
      <w:r>
        <w:t xml:space="preserve">Set “Financial year starts” — January for most UAE companies.</w:t>
      </w:r>
    </w:p>
    <w:p>
      <w:pPr>
        <w:pStyle w:val="ListParagraph"/>
        <w:numPr>
          <w:ilvl w:val="0"/>
          <w:numId w:val="7"/>
        </w:numPr>
        <w:spacing w:after="40"/>
      </w:pPr>
      <w:r>
        <w:t xml:space="preserve">Set “Opening balances as at” — the date you moved onto this system, normally the first day of your financial year.</w:t>
      </w:r>
    </w:p>
    <w:p>
      <w:pPr>
        <w:pStyle w:val="ListParagraph"/>
        <w:numPr>
          <w:ilvl w:val="0"/>
          <w:numId w:val="7"/>
        </w:numPr>
        <w:spacing w:after="40"/>
      </w:pPr>
      <w:r>
        <w:t xml:space="preserve">Save.</w:t>
      </w:r>
    </w:p>
    <w:p>
      <w:pPr>
        <w:pStyle w:val="Heading3"/>
        <w:spacing w:after="80" w:before="180"/>
      </w:pPr>
      <w:r>
        <w:t xml:space="preserve">Then enter each account's balance</w:t>
      </w:r>
    </w:p>
    <w:p>
      <w:pPr>
        <w:pStyle w:val="ListParagraph"/>
        <w:numPr>
          <w:ilvl w:val="0"/>
          <w:numId w:val="8"/>
        </w:numPr>
        <w:spacing w:after="40"/>
      </w:pPr>
      <w:r>
        <w:t xml:space="preserve">Go to Finance → Overview.</w:t>
      </w:r>
    </w:p>
    <w:p>
      <w:pPr>
        <w:pStyle w:val="ListParagraph"/>
        <w:numPr>
          <w:ilvl w:val="0"/>
          <w:numId w:val="8"/>
        </w:numPr>
        <w:spacing w:after="40"/>
      </w:pPr>
      <w:r>
        <w:t xml:space="preserve">Click the pencil on an account, or add a new one.</w:t>
      </w:r>
    </w:p>
    <w:p>
      <w:pPr>
        <w:pStyle w:val="ListParagraph"/>
        <w:numPr>
          <w:ilvl w:val="0"/>
          <w:numId w:val="8"/>
        </w:numPr>
        <w:spacing w:after="40"/>
      </w:pPr>
      <w:r>
        <w:t xml:space="preserve">Type the amount in “Opening balance” and choose Dr or Cr.</w:t>
      </w:r>
    </w:p>
    <w:p>
      <w:pPr>
        <w:pStyle w:val="ListParagraph"/>
        <w:numPr>
          <w:ilvl w:val="0"/>
          <w:numId w:val="8"/>
        </w:numPr>
        <w:spacing w:after="40"/>
      </w:pPr>
      <w:r>
        <w:t xml:space="preserve">Save, and repeat for every account that had a balance.</w:t>
      </w:r>
    </w:p>
    <w:p>
      <w:pPr>
        <w:spacing w:after="120"/>
      </w:pPr>
      <w:r>
        <w:t xml:space="preserve">Which side? Things you have or are owed are Dr — cash, bank, stock, customers who owe you, vehicles and equipment. Things you owe are Cr — suppliers, loans, and the owners’ capital.</w:t>
      </w:r>
    </w:p>
    <w:p>
      <w:pPr>
        <w:pBdr>
          <w:top w:val="single" w:color="B8860B" w:sz="2"/>
          <w:bottom w:val="single" w:color="B8860B" w:sz="2"/>
          <w:left w:val="single" w:color="B8860B" w:sz="12"/>
          <w:right w:val="single" w:color="B8860B" w:sz="2"/>
        </w:pBdr>
        <w:shd w:fill="FBF3DA" w:val="clear"/>
        <w:spacing w:after="140" w:before="60"/>
      </w:pPr>
      <w:r>
        <w:rPr>
          <w:b/>
          <w:bCs/>
          <w:color w:val="B8860B"/>
        </w:rPr>
        <w:t xml:space="preserve">Tip  </w:t>
      </w:r>
      <w:r>
        <w:t xml:space="preserve">If you have a trial balance from your old system or from your accountant, copy it straight across. Your opening debits and credits should total the same figure — the trial balance at the top of Finance → Overview will confirm it.</w:t>
      </w:r>
    </w:p>
    <w:p>
      <w:pPr>
        <w:pStyle w:val="Heading2"/>
        <w:spacing w:after="100" w:before="240"/>
      </w:pPr>
      <w:r>
        <w:t xml:space="preserve">4.3 Choosing the dates a report covers</w:t>
      </w:r>
    </w:p>
    <w:p>
      <w:pPr>
        <w:spacing w:after="120"/>
      </w:pPr>
      <w:r>
        <w:t xml:space="preserve">Every finance screen has a Period bar along the top with a From and a To date. It opens showing the current financial year, so most of the time you can leave it alone.</w:t>
      </w:r>
    </w:p>
    <w:p>
      <w:pPr>
        <w:pStyle w:val="ListParagraph"/>
        <w:numPr>
          <w:ilvl w:val="0"/>
          <w:numId w:val="9"/>
        </w:numPr>
        <w:spacing w:after="40"/>
      </w:pPr>
      <w:r>
        <w:t xml:space="preserve">Change From and To to look at any stretch of time — a month, a quarter, last year.</w:t>
      </w:r>
    </w:p>
    <w:p>
      <w:pPr>
        <w:pStyle w:val="ListParagraph"/>
        <w:numPr>
          <w:ilvl w:val="0"/>
          <w:numId w:val="9"/>
        </w:numPr>
        <w:spacing w:after="40"/>
      </w:pPr>
      <w:r>
        <w:t xml:space="preserve">On the VAT return, the quarter buttons jump straight to the FTA return periods.</w:t>
      </w:r>
    </w:p>
    <w:p>
      <w:pPr>
        <w:pStyle w:val="ListParagraph"/>
        <w:numPr>
          <w:ilvl w:val="0"/>
          <w:numId w:val="9"/>
        </w:numPr>
        <w:spacing w:after="40"/>
      </w:pPr>
      <w:r>
        <w:t xml:space="preserve">The dates are part of the web address, so you can bookmark a period or send a colleague the exact view you are looking at.</w:t>
      </w:r>
    </w:p>
    <w:p>
      <w:pPr>
        <w:spacing w:after="120"/>
      </w:pPr>
      <w:r>
        <w:t xml:space="preserve">The two headline reports use those dates differently, and it is worth knowing which is which. Profit &amp; Loss covers what happened between the two dates. The Balance Sheet is a snapshot on the To date — what the company owns and owes at that moment — so changing the From date does not affect it.</w:t>
      </w:r>
    </w:p>
    <w:p>
      <w:pPr>
        <w:pBdr>
          <w:top w:val="single" w:color="B8860B" w:sz="2"/>
          <w:bottom w:val="single" w:color="B8860B" w:sz="2"/>
          <w:left w:val="single" w:color="B8860B" w:sz="12"/>
          <w:right w:val="single" w:color="B8860B" w:sz="2"/>
        </w:pBdr>
        <w:shd w:fill="FBF3DA" w:val="clear"/>
        <w:spacing w:after="140" w:before="60"/>
      </w:pPr>
      <w:r>
        <w:rPr>
          <w:b/>
          <w:bCs/>
          <w:color w:val="B8860B"/>
        </w:rPr>
        <w:t xml:space="preserve">Tip  </w:t>
      </w:r>
      <w:r>
        <w:t xml:space="preserve">Whatever dates you choose, the Balance Sheet should always balance: Total Assets equals Liabilities + Equity. If it ever does not, tell your administrator rather than working around it.</w:t>
      </w:r>
    </w:p>
    <w:p>
      <w:pPr>
        <w:pStyle w:val="Heading2"/>
        <w:spacing w:after="100" w:before="240"/>
      </w:pPr>
      <w:r>
        <w:t xml:space="preserve">4.4 Customers and suppliers</w:t>
      </w:r>
    </w:p>
    <w:p>
      <w:pPr>
        <w:spacing w:after="120"/>
      </w:pPr>
      <w:r>
        <w:t xml:space="preserve">Every customer and supplier is recorded once, on Finance → Parties, and then chosen from a list when you post. Typing the name freehand each time produces “Al Habtoor Construction LLC” and “Al Habtoor Const. LLC” as two different customers, and then nobody can tell you what they owe.</w:t>
      </w:r>
    </w:p>
    <w:p>
      <w:pPr>
        <w:pStyle w:val="ListParagraph"/>
        <w:numPr>
          <w:ilvl w:val="0"/>
          <w:numId w:val="10"/>
        </w:numPr>
        <w:spacing w:after="40"/>
      </w:pPr>
      <w:r>
        <w:t xml:space="preserve">Finance → Parties → Add party.</w:t>
      </w:r>
    </w:p>
    <w:p>
      <w:pPr>
        <w:pStyle w:val="ListParagraph"/>
        <w:numPr>
          <w:ilvl w:val="0"/>
          <w:numId w:val="10"/>
        </w:numPr>
        <w:spacing w:after="40"/>
      </w:pPr>
      <w:r>
        <w:t xml:space="preserve">Give it a code (C0001 for a customer, S0001 for a supplier), the name, and whether it is a customer, a supplier, or both.</w:t>
      </w:r>
    </w:p>
    <w:p>
      <w:pPr>
        <w:pStyle w:val="ListParagraph"/>
        <w:numPr>
          <w:ilvl w:val="0"/>
          <w:numId w:val="10"/>
        </w:numPr>
        <w:spacing w:after="40"/>
      </w:pPr>
      <w:r>
        <w:t xml:space="preserve">Enter the TRN — the Tax Registration Number. A UAE tax invoice must carry it, and it appears on the VAT return.</w:t>
      </w:r>
    </w:p>
    <w:p>
      <w:pPr>
        <w:pStyle w:val="ListParagraph"/>
        <w:numPr>
          <w:ilvl w:val="0"/>
          <w:numId w:val="10"/>
        </w:numPr>
        <w:spacing w:after="40"/>
      </w:pPr>
      <w:r>
        <w:t xml:space="preserve">Set the credit days you have agreed, so the system knows when an invoice becomes overdue.</w:t>
      </w:r>
    </w:p>
    <w:p>
      <w:pPr>
        <w:pBdr>
          <w:top w:val="single" w:color="B8860B" w:sz="2"/>
          <w:bottom w:val="single" w:color="B8860B" w:sz="2"/>
          <w:left w:val="single" w:color="B8860B" w:sz="12"/>
          <w:right w:val="single" w:color="B8860B" w:sz="2"/>
        </w:pBdr>
        <w:shd w:fill="FBF3DA" w:val="clear"/>
        <w:spacing w:after="140" w:before="60"/>
      </w:pPr>
      <w:r>
        <w:rPr>
          <w:b/>
          <w:bCs/>
          <w:color w:val="B8860B"/>
        </w:rPr>
        <w:t xml:space="preserve">Tip  </w:t>
      </w:r>
      <w:r>
        <w:t xml:space="preserve">Two accounts are marked as control accounts — Accounts Receivable and Accounts Payable. Those are the ones the outstanding report measures, which is how it knows a balance belongs to a customer rather than being ordinary expenditure.</w:t>
      </w:r>
    </w:p>
    <w:p>
      <w:pPr>
        <w:pStyle w:val="Heading2"/>
        <w:spacing w:after="100" w:before="240"/>
      </w:pPr>
      <w:r>
        <w:t xml:space="preserve">4.5 Recording a transaction (voucher)</w:t>
      </w:r>
    </w:p>
    <w:p>
      <w:pPr>
        <w:pStyle w:val="ListParagraph"/>
        <w:numPr>
          <w:ilvl w:val="0"/>
          <w:numId w:val="11"/>
        </w:numPr>
        <w:spacing w:after="40"/>
      </w:pPr>
      <w:r>
        <w:t xml:space="preserve">On Finance → Overview, click “New journal entry”.</w:t>
      </w:r>
    </w:p>
    <w:p>
      <w:pPr>
        <w:pStyle w:val="ListParagraph"/>
        <w:numPr>
          <w:ilvl w:val="0"/>
          <w:numId w:val="11"/>
        </w:numPr>
        <w:spacing w:after="40"/>
      </w:pPr>
      <w:r>
        <w:t xml:space="preserve">Choose the voucher type (see below).</w:t>
      </w:r>
    </w:p>
    <w:p>
      <w:pPr>
        <w:pStyle w:val="ListParagraph"/>
        <w:numPr>
          <w:ilvl w:val="0"/>
          <w:numId w:val="11"/>
        </w:numPr>
        <w:spacing w:after="40"/>
      </w:pPr>
      <w:r>
        <w:t xml:space="preserve">Set the date. It defaults to today, but you can post an invoice dated last month — it will land in that month on every report.</w:t>
      </w:r>
    </w:p>
    <w:p>
      <w:pPr>
        <w:pStyle w:val="ListParagraph"/>
        <w:numPr>
          <w:ilvl w:val="0"/>
          <w:numId w:val="11"/>
        </w:numPr>
        <w:spacing w:after="40"/>
      </w:pPr>
      <w:r>
        <w:t xml:space="preserve">Choose the party if there is one, and add a narration describing the transaction.</w:t>
      </w:r>
    </w:p>
    <w:p>
      <w:pPr>
        <w:pStyle w:val="ListParagraph"/>
        <w:numPr>
          <w:ilvl w:val="0"/>
          <w:numId w:val="11"/>
        </w:numPr>
        <w:spacing w:after="40"/>
      </w:pPr>
      <w:r>
        <w:t xml:space="preserve">On each line, start typing an account name or code and pick it from the list.</w:t>
      </w:r>
    </w:p>
    <w:p>
      <w:pPr>
        <w:pStyle w:val="ListParagraph"/>
        <w:numPr>
          <w:ilvl w:val="0"/>
          <w:numId w:val="11"/>
        </w:numPr>
        <w:spacing w:after="40"/>
      </w:pPr>
      <w:r>
        <w:t xml:space="preserve">Set the VAT treatment on each line that is a supply or an expense, and leave it blank on the others.</w:t>
      </w:r>
    </w:p>
    <w:p>
      <w:pPr>
        <w:pStyle w:val="ListParagraph"/>
        <w:numPr>
          <w:ilvl w:val="0"/>
          <w:numId w:val="11"/>
        </w:numPr>
        <w:spacing w:after="40"/>
      </w:pPr>
      <w:r>
        <w:t xml:space="preserve">Enter the debit or credit amounts. The totals must match — the button stays disabled until they do.</w:t>
      </w:r>
    </w:p>
    <w:p>
      <w:pPr>
        <w:spacing w:after="20" w:before="100"/>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76575"/>
                    </a:xfrm>
                    <a:prstGeom prst="rect">
                      <a:avLst/>
                    </a:prstGeom>
                  </pic:spPr>
                </pic:pic>
              </a:graphicData>
            </a:graphic>
          </wp:inline>
        </w:drawing>
      </w:r>
    </w:p>
    <w:p>
      <w:pPr>
        <w:pBdr>
          <w:bottom w:val="single" w:color="EEF3F9" w:sz="2"/>
        </w:pBdr>
        <w:spacing w:after="200"/>
        <w:jc w:val="center"/>
      </w:pPr>
      <w:r>
        <w:rPr>
          <w:i/>
          <w:iCs/>
          <w:color w:val="667788"/>
          <w:sz w:val="16"/>
          <w:szCs w:val="16"/>
        </w:rPr>
        <w:t xml:space="preserve">Figure 4: The New Journal Entry form</w:t>
      </w:r>
    </w:p>
    <w:p>
      <w:pPr>
        <w:pStyle w:val="Heading3"/>
        <w:spacing w:after="80" w:before="180"/>
      </w:pPr>
      <w:r>
        <w:t xml:space="preserve">Which voucher type to use</w:t>
      </w:r>
    </w:p>
    <w:p>
      <w:pPr>
        <w:pStyle w:val="ListParagraph"/>
        <w:numPr>
          <w:ilvl w:val="0"/>
          <w:numId w:val="2"/>
        </w:numPr>
        <w:spacing w:after="40"/>
      </w:pPr>
      <w:r>
        <w:t xml:space="preserve">Payment — money going out; you paid someone.</w:t>
      </w:r>
    </w:p>
    <w:p>
      <w:pPr>
        <w:pStyle w:val="ListParagraph"/>
        <w:numPr>
          <w:ilvl w:val="0"/>
          <w:numId w:val="2"/>
        </w:numPr>
        <w:spacing w:after="40"/>
      </w:pPr>
      <w:r>
        <w:t xml:space="preserve">Receipt — money coming in; someone paid you.</w:t>
      </w:r>
    </w:p>
    <w:p>
      <w:pPr>
        <w:pStyle w:val="ListParagraph"/>
        <w:numPr>
          <w:ilvl w:val="0"/>
          <w:numId w:val="2"/>
        </w:numPr>
        <w:spacing w:after="40"/>
      </w:pPr>
      <w:r>
        <w:t xml:space="preserve">Sales — an invoice raised to a customer.</w:t>
      </w:r>
    </w:p>
    <w:p>
      <w:pPr>
        <w:pStyle w:val="ListParagraph"/>
        <w:numPr>
          <w:ilvl w:val="0"/>
          <w:numId w:val="2"/>
        </w:numPr>
        <w:spacing w:after="40"/>
      </w:pPr>
      <w:r>
        <w:t xml:space="preserve">Purchase — a bill received from a supplier.</w:t>
      </w:r>
    </w:p>
    <w:p>
      <w:pPr>
        <w:pStyle w:val="ListParagraph"/>
        <w:numPr>
          <w:ilvl w:val="0"/>
          <w:numId w:val="2"/>
        </w:numPr>
        <w:spacing w:after="40"/>
      </w:pPr>
      <w:r>
        <w:t xml:space="preserve">Credit Note — reduces an invoice you raised: a rate variation, a return, a retention release.</w:t>
      </w:r>
    </w:p>
    <w:p>
      <w:pPr>
        <w:pStyle w:val="ListParagraph"/>
        <w:numPr>
          <w:ilvl w:val="0"/>
          <w:numId w:val="2"/>
        </w:numPr>
        <w:spacing w:after="40"/>
      </w:pPr>
      <w:r>
        <w:t xml:space="preserve">Debit Note — reduces a bill from a supplier.</w:t>
      </w:r>
    </w:p>
    <w:p>
      <w:pPr>
        <w:pStyle w:val="ListParagraph"/>
        <w:numPr>
          <w:ilvl w:val="0"/>
          <w:numId w:val="2"/>
        </w:numPr>
        <w:spacing w:after="40"/>
      </w:pPr>
      <w:r>
        <w:t xml:space="preserve">Contra — moving money between your own cash and bank.</w:t>
      </w:r>
    </w:p>
    <w:p>
      <w:pPr>
        <w:pStyle w:val="ListParagraph"/>
        <w:numPr>
          <w:ilvl w:val="0"/>
          <w:numId w:val="2"/>
        </w:numPr>
        <w:spacing w:after="40"/>
      </w:pPr>
      <w:r>
        <w:t xml:space="preserve">Journal — adjustments, and anything that does not fit the others.</w:t>
      </w:r>
    </w:p>
    <w:p>
      <w:pPr>
        <w:pBdr>
          <w:top w:val="single" w:color="B8860B" w:sz="2"/>
          <w:bottom w:val="single" w:color="B8860B" w:sz="2"/>
          <w:left w:val="single" w:color="B8860B" w:sz="12"/>
          <w:right w:val="single" w:color="B8860B" w:sz="2"/>
        </w:pBdr>
        <w:shd w:fill="FBF3DA" w:val="clear"/>
        <w:spacing w:after="140" w:before="60"/>
      </w:pPr>
      <w:r>
        <w:rPr>
          <w:b/>
          <w:bCs/>
          <w:color w:val="B8860B"/>
        </w:rPr>
        <w:t xml:space="preserve">Tip  </w:t>
      </w:r>
      <w:r>
        <w:t xml:space="preserve">The reference number is created for you and restarts each financial year, so it reads like WBE/SI/26-27/0001 — the company, the voucher type, the year and the sequence.</w:t>
      </w:r>
    </w:p>
    <w:p>
      <w:pPr>
        <w:pStyle w:val="Heading3"/>
        <w:spacing w:after="80" w:before="180"/>
      </w:pPr>
      <w:r>
        <w:t xml:space="preserve">The VAT treatment on each line</w:t>
      </w:r>
    </w:p>
    <w:p>
      <w:pPr>
        <w:spacing w:after="120"/>
      </w:pPr>
      <w:r>
        <w:t xml:space="preserve">One invoice often mixes them: standard-rated work on the mainland alongside a zero-rated export. That is why the treatment sits on the line rather than the voucher.</w:t>
      </w:r>
    </w:p>
    <w:p>
      <w:pPr>
        <w:pStyle w:val="ListParagraph"/>
        <w:numPr>
          <w:ilvl w:val="0"/>
          <w:numId w:val="2"/>
        </w:numPr>
        <w:spacing w:after="40"/>
      </w:pPr>
      <w:r>
        <w:t xml:space="preserve">Standard — normal 5% VAT; most work billed inside the UAE.</w:t>
      </w:r>
    </w:p>
    <w:p>
      <w:pPr>
        <w:pStyle w:val="ListParagraph"/>
        <w:numPr>
          <w:ilvl w:val="0"/>
          <w:numId w:val="2"/>
        </w:numPr>
        <w:spacing w:after="40"/>
      </w:pPr>
      <w:r>
        <w:t xml:space="preserve">Zero-rated — 0% but still a taxable supply: exports outside the GCC, international transport.</w:t>
      </w:r>
    </w:p>
    <w:p>
      <w:pPr>
        <w:pStyle w:val="ListParagraph"/>
        <w:numPr>
          <w:ilvl w:val="0"/>
          <w:numId w:val="2"/>
        </w:numPr>
        <w:spacing w:after="40"/>
      </w:pPr>
      <w:r>
        <w:t xml:space="preserve">Exempt — no VAT and not recoverable: certain financial services, bare land, local passenger transport.</w:t>
      </w:r>
    </w:p>
    <w:p>
      <w:pPr>
        <w:pStyle w:val="ListParagraph"/>
        <w:numPr>
          <w:ilvl w:val="0"/>
          <w:numId w:val="2"/>
        </w:numPr>
        <w:spacing w:after="40"/>
      </w:pPr>
      <w:r>
        <w:t xml:space="preserve">Out of scope — outside UAE VAT altogether.</w:t>
      </w:r>
    </w:p>
    <w:p>
      <w:pPr>
        <w:pStyle w:val="ListParagraph"/>
        <w:numPr>
          <w:ilvl w:val="0"/>
          <w:numId w:val="2"/>
        </w:numPr>
        <w:spacing w:after="40"/>
      </w:pPr>
      <w:r>
        <w:t xml:space="preserve">Reverse charge — you account for the tax yourself on an import. It appears on both sides of the return and nets to nil.</w:t>
      </w:r>
    </w:p>
    <w:p>
      <w:pPr>
        <w:pBdr>
          <w:top w:val="single" w:color="B8860B" w:sz="2"/>
          <w:bottom w:val="single" w:color="B8860B" w:sz="2"/>
          <w:left w:val="single" w:color="B8860B" w:sz="12"/>
          <w:right w:val="single" w:color="B8860B" w:sz="2"/>
        </w:pBdr>
        <w:shd w:fill="FBF3DA" w:val="clear"/>
        <w:spacing w:after="140" w:before="60"/>
      </w:pPr>
      <w:r>
        <w:rPr>
          <w:b/>
          <w:bCs/>
          <w:color w:val="B8860B"/>
        </w:rPr>
        <w:t xml:space="preserve">Tip  </w:t>
      </w:r>
      <w:r>
        <w:t xml:space="preserve">Leave the treatment blank on lines that are not a supply or an expense — the bank, the receivable, the VAT account itself. Only tag the revenue or cost line.</w:t>
      </w:r>
    </w:p>
    <w:p>
      <w:pPr>
        <w:pStyle w:val="Heading2"/>
        <w:spacing w:after="100" w:before="240"/>
      </w:pPr>
      <w:r>
        <w:t xml:space="preserve">4.6 Correcting a mistake</w:t>
      </w:r>
    </w:p>
    <w:p>
      <w:pPr>
        <w:spacing w:after="120"/>
      </w:pPr>
      <w:r>
        <w:t xml:space="preserve">A posted voucher is never edited or deleted. That is deliberate: an audit trail you can quietly rewrite is not an audit trail. A mistake is corrected the way an accountant corrects one — by posting the opposite entry.</w:t>
      </w:r>
    </w:p>
    <w:p>
      <w:pPr>
        <w:pStyle w:val="ListParagraph"/>
        <w:numPr>
          <w:ilvl w:val="0"/>
          <w:numId w:val="12"/>
        </w:numPr>
        <w:spacing w:after="40"/>
      </w:pPr>
      <w:r>
        <w:t xml:space="preserve">Find the voucher in the Day Book.</w:t>
      </w:r>
    </w:p>
    <w:p>
      <w:pPr>
        <w:pStyle w:val="ListParagraph"/>
        <w:numPr>
          <w:ilvl w:val="0"/>
          <w:numId w:val="12"/>
        </w:numPr>
        <w:spacing w:after="40"/>
      </w:pPr>
      <w:r>
        <w:t xml:space="preserve">Click the reverse icon at the end of its row.</w:t>
      </w:r>
    </w:p>
    <w:p>
      <w:pPr>
        <w:pStyle w:val="ListParagraph"/>
        <w:numPr>
          <w:ilvl w:val="0"/>
          <w:numId w:val="12"/>
        </w:numPr>
        <w:spacing w:after="40"/>
      </w:pPr>
      <w:r>
        <w:t xml:space="preserve">Choose the date for the correction — usually today, or the month you are correcting.</w:t>
      </w:r>
    </w:p>
    <w:p>
      <w:pPr>
        <w:pStyle w:val="ListParagraph"/>
        <w:numPr>
          <w:ilvl w:val="0"/>
          <w:numId w:val="12"/>
        </w:numPr>
        <w:spacing w:after="40"/>
      </w:pPr>
      <w:r>
        <w:t xml:space="preserve">Post it. Every debit becomes a credit and every credit a debit.</w:t>
      </w:r>
    </w:p>
    <w:p>
      <w:pPr>
        <w:spacing w:after="120"/>
      </w:pPr>
      <w:r>
        <w:t xml:space="preserve">The original stays exactly as it was, the two are linked, and the original row then reads “Reversed” so nobody reverses it twice.</w:t>
      </w:r>
    </w:p>
    <w:p>
      <w:pPr>
        <w:pStyle w:val="Heading3"/>
        <w:spacing w:after="80" w:before="180"/>
      </w:pPr>
      <w:r>
        <w:t xml:space="preserve">Closing a period</w:t>
      </w:r>
    </w:p>
    <w:p>
      <w:pPr>
        <w:spacing w:after="120"/>
      </w:pPr>
      <w:r>
        <w:t xml:space="preserve">Once a VAT return is filed or a month is closed, the figures behind it must not move. An administrator sets “Books closed up to” on the company (Companies &amp; Group → edit). Nothing can then be posted on or before that date, and anyone who tries is told why.</w:t>
      </w:r>
    </w:p>
    <w:p>
      <w:pPr>
        <w:pStyle w:val="Heading2"/>
        <w:spacing w:after="100" w:before="240"/>
      </w:pPr>
      <w:r>
        <w:t xml:space="preserve">4.7 Day Book</w:t>
      </w:r>
    </w:p>
    <w:p>
      <w:pPr>
        <w:spacing w:after="120"/>
      </w:pPr>
      <w:r>
        <w:t xml:space="preserve">Every voucher in date order for the selected period — the quickest way to see what was posted on a given day. Use the type buttons to show only payments, only sales, and so on.</w:t>
      </w:r>
    </w:p>
    <w:p>
      <w:pPr>
        <w:spacing w:after="20" w:before="100"/>
        <w:jc w:val="center"/>
      </w:pPr>
      <w:r>
        <w:drawing>
          <wp:inline distT="0" distB="0" distL="0" distR="0">
            <wp:extent cx="5715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86100"/>
                    </a:xfrm>
                    <a:prstGeom prst="rect">
                      <a:avLst/>
                    </a:prstGeom>
                  </pic:spPr>
                </pic:pic>
              </a:graphicData>
            </a:graphic>
          </wp:inline>
        </w:drawing>
      </w:r>
    </w:p>
    <w:p>
      <w:pPr>
        <w:pBdr>
          <w:bottom w:val="single" w:color="EEF3F9" w:sz="2"/>
        </w:pBdr>
        <w:spacing w:after="200"/>
        <w:jc w:val="center"/>
      </w:pPr>
      <w:r>
        <w:rPr>
          <w:i/>
          <w:iCs/>
          <w:color w:val="667788"/>
          <w:sz w:val="16"/>
          <w:szCs w:val="16"/>
        </w:rPr>
        <w:t xml:space="preserve">Figure 5: The Day Book</w:t>
      </w:r>
    </w:p>
    <w:p>
      <w:pPr>
        <w:pStyle w:val="Heading2"/>
        <w:spacing w:after="100" w:before="240"/>
      </w:pPr>
      <w:r>
        <w:t xml:space="preserve">4.8 Ledgers</w:t>
      </w:r>
    </w:p>
    <w:p>
      <w:pPr>
        <w:pStyle w:val="ListParagraph"/>
        <w:numPr>
          <w:ilvl w:val="0"/>
          <w:numId w:val="13"/>
        </w:numPr>
        <w:spacing w:after="40"/>
      </w:pPr>
      <w:r>
        <w:t xml:space="preserve">Open the Ledgers tab.</w:t>
      </w:r>
    </w:p>
    <w:p>
      <w:pPr>
        <w:pStyle w:val="ListParagraph"/>
        <w:numPr>
          <w:ilvl w:val="0"/>
          <w:numId w:val="13"/>
        </w:numPr>
        <w:spacing w:after="40"/>
      </w:pPr>
      <w:r>
        <w:t xml:space="preserve">Pick an account from the list, for example “Cash at Bank”.</w:t>
      </w:r>
    </w:p>
    <w:p>
      <w:pPr>
        <w:pStyle w:val="ListParagraph"/>
        <w:numPr>
          <w:ilvl w:val="0"/>
          <w:numId w:val="13"/>
        </w:numPr>
        <w:spacing w:after="40"/>
      </w:pPr>
      <w:r>
        <w:t xml:space="preserve">You will see the balance brought forward, every entry in the period, the movement, and the closing balance.</w:t>
      </w:r>
    </w:p>
    <w:p>
      <w:pPr>
        <w:spacing w:after="120"/>
      </w:pPr>
      <w:r>
        <w:t xml:space="preserve">Click any voucher reference to jump to that voucher in the Day Book.</w:t>
      </w:r>
    </w:p>
    <w:p>
      <w:pPr>
        <w:spacing w:after="20" w:before="100"/>
        <w:jc w:val="center"/>
      </w:pPr>
      <w:r>
        <w:drawing>
          <wp:inline distT="0" distB="0" distL="0" distR="0">
            <wp:extent cx="5715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33700"/>
                    </a:xfrm>
                    <a:prstGeom prst="rect">
                      <a:avLst/>
                    </a:prstGeom>
                  </pic:spPr>
                </pic:pic>
              </a:graphicData>
            </a:graphic>
          </wp:inline>
        </w:drawing>
      </w:r>
    </w:p>
    <w:p>
      <w:pPr>
        <w:pBdr>
          <w:bottom w:val="single" w:color="EEF3F9" w:sz="2"/>
        </w:pBdr>
        <w:spacing w:after="200"/>
        <w:jc w:val="center"/>
      </w:pPr>
      <w:r>
        <w:rPr>
          <w:i/>
          <w:iCs/>
          <w:color w:val="667788"/>
          <w:sz w:val="16"/>
          <w:szCs w:val="16"/>
        </w:rPr>
        <w:t xml:space="preserve">Figure 6: A ledger statement with running balance</w:t>
      </w:r>
    </w:p>
    <w:p>
      <w:pPr>
        <w:pStyle w:val="Heading2"/>
        <w:spacing w:after="100" w:before="240"/>
      </w:pPr>
      <w:r>
        <w:t xml:space="preserve">4.9 Reports — Profit &amp; Loss and Balance Sheet</w:t>
      </w:r>
    </w:p>
    <w:p>
      <w:pPr>
        <w:spacing w:after="120"/>
      </w:pPr>
      <w:r>
        <w:t xml:space="preserve">Profit &amp; Loss answers “did we make money?” over the period. The Balance Sheet answers “what do we own and owe?” on the To date. A “✓ Balanced” tick confirms the books are consistent.</w:t>
      </w:r>
    </w:p>
    <w:p>
      <w:pPr>
        <w:spacing w:after="120"/>
      </w:pPr>
      <w:r>
        <w:t xml:space="preserve">Click any account line to open its ledger for the same dates, and a voucher reference from there to see the entry itself. Totals are not clickable, because no single ledger sits behind them.</w:t>
      </w:r>
    </w:p>
    <w:p>
      <w:pPr>
        <w:spacing w:after="20" w:before="100"/>
        <w:jc w:val="center"/>
      </w:pPr>
      <w:r>
        <w:drawing>
          <wp:inline distT="0" distB="0" distL="0" distR="0">
            <wp:extent cx="5715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00375"/>
                    </a:xfrm>
                    <a:prstGeom prst="rect">
                      <a:avLst/>
                    </a:prstGeom>
                  </pic:spPr>
                </pic:pic>
              </a:graphicData>
            </a:graphic>
          </wp:inline>
        </w:drawing>
      </w:r>
    </w:p>
    <w:p>
      <w:pPr>
        <w:pBdr>
          <w:bottom w:val="single" w:color="EEF3F9" w:sz="2"/>
        </w:pBdr>
        <w:spacing w:after="200"/>
        <w:jc w:val="center"/>
      </w:pPr>
      <w:r>
        <w:rPr>
          <w:i/>
          <w:iCs/>
          <w:color w:val="667788"/>
          <w:sz w:val="16"/>
          <w:szCs w:val="16"/>
        </w:rPr>
        <w:t xml:space="preserve">Figure 7: Profit &amp; Loss and Balance Sheet</w:t>
      </w:r>
    </w:p>
    <w:p>
      <w:pPr>
        <w:pStyle w:val="Heading2"/>
        <w:spacing w:after="100" w:before="240"/>
      </w:pPr>
      <w:r>
        <w:t xml:space="preserve">4.10 Who owes us, and what we owe</w:t>
      </w:r>
    </w:p>
    <w:p>
      <w:pPr>
        <w:spacing w:after="120"/>
      </w:pPr>
      <w:r>
        <w:t xml:space="preserve">Finance → Outstanding shows every customer balance and every supplier balance, aged into the usual buckets — not yet due, 1–30 days, 31–60, 61–90 and over 90. It is built from the control accounts, so it always agrees with the ledgers.</w:t>
      </w:r>
    </w:p>
    <w:p>
      <w:pPr>
        <w:pBdr>
          <w:top w:val="single" w:color="B8860B" w:sz="2"/>
          <w:bottom w:val="single" w:color="B8860B" w:sz="2"/>
          <w:left w:val="single" w:color="B8860B" w:sz="12"/>
          <w:right w:val="single" w:color="B8860B" w:sz="2"/>
        </w:pBdr>
        <w:shd w:fill="FBF3DA" w:val="clear"/>
        <w:spacing w:after="140" w:before="60"/>
      </w:pPr>
      <w:r>
        <w:rPr>
          <w:b/>
          <w:bCs/>
          <w:color w:val="B8860B"/>
        </w:rPr>
        <w:t xml:space="preserve">Tip  </w:t>
      </w:r>
      <w:r>
        <w:t xml:space="preserve">This is the report to run before a payment run or a collection call. The credit days on each party decide when an invoice counts as overdue.</w:t>
      </w:r>
    </w:p>
    <w:p>
      <w:pPr>
        <w:pStyle w:val="Heading2"/>
        <w:spacing w:after="100" w:before="240"/>
      </w:pPr>
      <w:r>
        <w:t xml:space="preserve">4.11 Job costing — did we make money on that job?</w:t>
      </w:r>
    </w:p>
    <w:p>
      <w:pPr>
        <w:spacing w:after="120"/>
      </w:pPr>
      <w:r>
        <w:t xml:space="preserve">A job is one piece of work you are doing for a customer. When you post a voucher, each line can be charged to a job, so the money you invoiced and the costs you paid out both land against the same job and the margin is worked out for you. A job and a project are the same record here — “Kind of work” is only the word you use for it, so a fixed-price contract, a service call and an annual maintenance contract all sit in the same list.</w:t>
      </w:r>
    </w:p>
    <w:p>
      <w:pPr>
        <w:pStyle w:val="ListParagraph"/>
        <w:numPr>
          <w:ilvl w:val="0"/>
          <w:numId w:val="14"/>
        </w:numPr>
        <w:spacing w:after="40"/>
      </w:pPr>
      <w:r>
        <w:t xml:space="preserve">Open Finance → Job Costing and click New job. Give it a name, and if you know them, the contract value (what you sold it for) and the budget cost (what you expect it to cost you).</w:t>
      </w:r>
    </w:p>
    <w:p>
      <w:pPr>
        <w:pStyle w:val="ListParagraph"/>
        <w:numPr>
          <w:ilvl w:val="0"/>
          <w:numId w:val="14"/>
        </w:numPr>
        <w:spacing w:after="40"/>
      </w:pPr>
      <w:r>
        <w:t xml:space="preserve">When you post a voucher, use the Charge to box on each line and pick the job — for the sales invoice, and for every supplier bill and expense that belongs to it.</w:t>
      </w:r>
    </w:p>
    <w:p>
      <w:pPr>
        <w:pStyle w:val="ListParagraph"/>
        <w:numPr>
          <w:ilvl w:val="0"/>
          <w:numId w:val="14"/>
        </w:numPr>
        <w:spacing w:after="40"/>
      </w:pPr>
      <w:r>
        <w:t xml:space="preserve">Come back to this screen to see Revenue, Cost and Margin for each job, for whatever dates you choose at the top.</w:t>
      </w:r>
    </w:p>
    <w:p>
      <w:pPr>
        <w:pStyle w:val="ListParagraph"/>
        <w:numPr>
          <w:ilvl w:val="0"/>
          <w:numId w:val="14"/>
        </w:numPr>
        <w:spacing w:after="40"/>
      </w:pPr>
      <w:r>
        <w:t xml:space="preserve">For a large contract split into packages or variations, create each one as its own job and set Part of to the main contract.</w:t>
      </w:r>
    </w:p>
    <w:p>
      <w:pPr>
        <w:spacing w:after="120"/>
      </w:pPr>
      <w:r>
        <w:t xml:space="preserve">An indented row is a package or variation sitting under the job above it. The parent row adds up everything beneath it, so the main contract shows the true whole-job position. The Total line at the foot counts each job once, so a parent and its packages are never added together twice.</w:t>
      </w:r>
    </w:p>
    <w:p>
      <w:pPr>
        <w:pBdr>
          <w:top w:val="single" w:color="B8860B" w:sz="2"/>
          <w:bottom w:val="single" w:color="B8860B" w:sz="2"/>
          <w:left w:val="single" w:color="B8860B" w:sz="12"/>
          <w:right w:val="single" w:color="B8860B" w:sz="2"/>
        </w:pBdr>
        <w:shd w:fill="FBF3DA" w:val="clear"/>
        <w:spacing w:after="140" w:before="60"/>
      </w:pPr>
      <w:r>
        <w:rPr>
          <w:b/>
          <w:bCs/>
          <w:color w:val="B8860B"/>
        </w:rPr>
        <w:t xml:space="preserve">Tip  </w:t>
      </w:r>
      <w:r>
        <w:t xml:space="preserve">Margin only tells the truth if every cost was charged to the job. If some were missed the job looks more profitable than it really is — the Cost Centres screen tells you how much cost has nothing on it at all.</w:t>
      </w:r>
    </w:p>
    <w:p>
      <w:pPr>
        <w:pStyle w:val="Heading2"/>
        <w:spacing w:after="100" w:before="240"/>
      </w:pPr>
      <w:r>
        <w:t xml:space="preserve">4.12 Cost centres — what your own business costs to run</w:t>
      </w:r>
    </w:p>
    <w:p>
      <w:pPr>
        <w:spacing w:after="120"/>
      </w:pPr>
      <w:r>
        <w:t xml:space="preserve">Not every cost belongs to a customer's job. Rent, the workshop, the vehicles and the office staff cost money whether or not you win any work. A cost centre is where those go, so you can see what they add up to and report on them separately from the jobs.</w:t>
      </w:r>
    </w:p>
    <w:p>
      <w:pPr>
        <w:pStyle w:val="ListParagraph"/>
        <w:numPr>
          <w:ilvl w:val="0"/>
          <w:numId w:val="15"/>
        </w:numPr>
        <w:spacing w:after="40"/>
      </w:pPr>
      <w:r>
        <w:t xml:space="preserve">Open Finance → Cost Centres and click New cost centre. Start simple: Head office, Workshop, Vehicles.</w:t>
      </w:r>
    </w:p>
    <w:p>
      <w:pPr>
        <w:pStyle w:val="ListParagraph"/>
        <w:numPr>
          <w:ilvl w:val="0"/>
          <w:numId w:val="15"/>
        </w:numPr>
        <w:spacing w:after="40"/>
      </w:pPr>
      <w:r>
        <w:t xml:space="preserve">When you post a cost that is not for a customer job, use the Charge to box on the line and pick the cost centre instead of a job.</w:t>
      </w:r>
    </w:p>
    <w:p>
      <w:pPr>
        <w:pStyle w:val="ListParagraph"/>
        <w:numPr>
          <w:ilvl w:val="0"/>
          <w:numId w:val="15"/>
        </w:numPr>
        <w:spacing w:after="40"/>
      </w:pPr>
      <w:r>
        <w:t xml:space="preserve">Read Own cost for what was posted to that centre itself, and Including below for anything sitting underneath it — useful if you put Cranes and Pickups under Vehicles.</w:t>
      </w:r>
    </w:p>
    <w:p>
      <w:pPr>
        <w:pStyle w:val="ListParagraph"/>
        <w:numPr>
          <w:ilvl w:val="0"/>
          <w:numId w:val="15"/>
        </w:numPr>
        <w:spacing w:after="40"/>
      </w:pPr>
      <w:r>
        <w:t xml:space="preserve">Watch the Cost with nothing on it figure at the top of the screen.</w:t>
      </w:r>
    </w:p>
    <w:p>
      <w:pPr>
        <w:spacing w:after="120"/>
      </w:pPr>
      <w:r>
        <w:t xml:space="preserve">A voucher line carries a job or a cost centre, never both. That is deliberate: if a line could carry both, the same cost would appear in job costing and in overhead, and the two reports could not be read side by side. The Charge to box therefore offers one list, with jobs and cost centres in separate groups.</w:t>
      </w:r>
    </w:p>
    <w:p>
      <w:pPr>
        <w:pBdr>
          <w:top w:val="single" w:color="B8860B" w:sz="2"/>
          <w:bottom w:val="single" w:color="B8860B" w:sz="2"/>
          <w:left w:val="single" w:color="B8860B" w:sz="12"/>
          <w:right w:val="single" w:color="B8860B" w:sz="2"/>
        </w:pBdr>
        <w:shd w:fill="FBF3DA" w:val="clear"/>
        <w:spacing w:after="140" w:before="60"/>
      </w:pPr>
      <w:r>
        <w:rPr>
          <w:b/>
          <w:bCs/>
          <w:color w:val="B8860B"/>
        </w:rPr>
        <w:t xml:space="preserve">Tip  </w:t>
      </w:r>
      <w:r>
        <w:t xml:space="preserve">While Cost with nothing on it is above zero, your job margins are flattering — that money was spent on something. Click through to the Day Book to find those vouchers and charge them properly.</w:t>
      </w:r>
    </w:p>
    <w:p>
      <w:pPr>
        <w:pStyle w:val="Heading2"/>
        <w:spacing w:after="100" w:before="240"/>
      </w:pPr>
      <w:r>
        <w:t xml:space="preserve">4.13 VAT Return (VAT 201)</w:t>
      </w:r>
    </w:p>
    <w:p>
      <w:pPr>
        <w:spacing w:after="120"/>
      </w:pPr>
      <w:r>
        <w:t xml:space="preserve">The VAT screen is the return itself, box by box, for whichever period you select. The quarter buttons match the FTA return periods.</w:t>
      </w:r>
    </w:p>
    <w:p>
      <w:pPr>
        <w:pStyle w:val="ListParagraph"/>
        <w:numPr>
          <w:ilvl w:val="0"/>
          <w:numId w:val="2"/>
        </w:numPr>
        <w:spacing w:after="40"/>
      </w:pPr>
      <w:r>
        <w:t xml:space="preserve">Box 1 — standard rated supplies, with the tax on them.</w:t>
      </w:r>
    </w:p>
    <w:p>
      <w:pPr>
        <w:pStyle w:val="ListParagraph"/>
        <w:numPr>
          <w:ilvl w:val="0"/>
          <w:numId w:val="2"/>
        </w:numPr>
        <w:spacing w:after="40"/>
      </w:pPr>
      <w:r>
        <w:t xml:space="preserve">Box 3 — supplies subject to the reverse charge.</w:t>
      </w:r>
    </w:p>
    <w:p>
      <w:pPr>
        <w:pStyle w:val="ListParagraph"/>
        <w:numPr>
          <w:ilvl w:val="0"/>
          <w:numId w:val="2"/>
        </w:numPr>
        <w:spacing w:after="40"/>
      </w:pPr>
      <w:r>
        <w:t xml:space="preserve">Box 4 — zero rated supplies.</w:t>
      </w:r>
    </w:p>
    <w:p>
      <w:pPr>
        <w:pStyle w:val="ListParagraph"/>
        <w:numPr>
          <w:ilvl w:val="0"/>
          <w:numId w:val="2"/>
        </w:numPr>
        <w:spacing w:after="40"/>
      </w:pPr>
      <w:r>
        <w:t xml:space="preserve">Box 5 — exempt supplies.</w:t>
      </w:r>
    </w:p>
    <w:p>
      <w:pPr>
        <w:pStyle w:val="ListParagraph"/>
        <w:numPr>
          <w:ilvl w:val="0"/>
          <w:numId w:val="2"/>
        </w:numPr>
        <w:spacing w:after="40"/>
      </w:pPr>
      <w:r>
        <w:t xml:space="preserve">Box 9 — standard rated expenses, with the tax you can reclaim.</w:t>
      </w:r>
    </w:p>
    <w:p>
      <w:pPr>
        <w:pStyle w:val="ListParagraph"/>
        <w:numPr>
          <w:ilvl w:val="0"/>
          <w:numId w:val="2"/>
        </w:numPr>
        <w:spacing w:after="40"/>
      </w:pPr>
      <w:r>
        <w:t xml:space="preserve">Box 10 — expenses subject to the reverse charge.</w:t>
      </w:r>
    </w:p>
    <w:p>
      <w:pPr>
        <w:pStyle w:val="ListParagraph"/>
        <w:numPr>
          <w:ilvl w:val="0"/>
          <w:numId w:val="2"/>
        </w:numPr>
        <w:spacing w:after="40"/>
      </w:pPr>
      <w:r>
        <w:t xml:space="preserve">Boxes 12, 13 and 14 — output tax, input tax, and the net payable or refundable.</w:t>
      </w:r>
    </w:p>
    <w:p>
      <w:pPr>
        <w:spacing w:after="120"/>
      </w:pPr>
      <w:r>
        <w:t xml:space="preserve">Credit and debit notes reduce what was already declared rather than adding to it. Reverse charge appears in both box 3 and box 10 and nets to nil, which is how an imported service is self-accounted.</w:t>
      </w:r>
    </w:p>
    <w:p>
      <w:pPr>
        <w:pBdr>
          <w:top w:val="single" w:color="B8860B" w:sz="2"/>
          <w:bottom w:val="single" w:color="B8860B" w:sz="2"/>
          <w:left w:val="single" w:color="B8860B" w:sz="12"/>
          <w:right w:val="single" w:color="B8860B" w:sz="2"/>
        </w:pBdr>
        <w:shd w:fill="FBF3DA" w:val="clear"/>
        <w:spacing w:after="140" w:before="60"/>
      </w:pPr>
      <w:r>
        <w:rPr>
          <w:b/>
          <w:bCs/>
          <w:color w:val="B8860B"/>
        </w:rPr>
        <w:t xml:space="preserve">Tip  </w:t>
      </w:r>
      <w:r>
        <w:t xml:space="preserve">If the screen says an amount is not on the return, some voucher lines have no VAT treatment set. Open those vouchers and set one before you file — a supply missing from a filed return is a problem worth catching here.</w:t>
      </w:r>
    </w:p>
    <w:p>
      <w:pPr>
        <w:spacing w:after="20" w:before="100"/>
        <w:jc w:val="center"/>
      </w:pPr>
      <w:r>
        <w:drawing>
          <wp:inline distT="0" distB="0" distL="0" distR="0">
            <wp:extent cx="5715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933700"/>
                    </a:xfrm>
                    <a:prstGeom prst="rect">
                      <a:avLst/>
                    </a:prstGeom>
                  </pic:spPr>
                </pic:pic>
              </a:graphicData>
            </a:graphic>
          </wp:inline>
        </w:drawing>
      </w:r>
    </w:p>
    <w:p>
      <w:pPr>
        <w:pBdr>
          <w:bottom w:val="single" w:color="EEF3F9" w:sz="2"/>
        </w:pBdr>
        <w:spacing w:after="200"/>
        <w:jc w:val="center"/>
      </w:pPr>
      <w:r>
        <w:rPr>
          <w:i/>
          <w:iCs/>
          <w:color w:val="667788"/>
          <w:sz w:val="16"/>
          <w:szCs w:val="16"/>
        </w:rPr>
        <w:t xml:space="preserve">Figure 8: The VAT report</w:t>
      </w:r>
    </w:p>
    <w:p>
      <w:pPr>
        <w:pStyle w:val="Heading2"/>
        <w:spacing w:after="100" w:before="240"/>
      </w:pPr>
      <w:r>
        <w:t xml:space="preserve">4.14 Printing a report</w:t>
      </w:r>
    </w:p>
    <w:p>
      <w:pPr>
        <w:spacing w:after="120"/>
      </w:pPr>
      <w:r>
        <w:t xml:space="preserve">Every finance report has a Print button. It produces an A4 page with the company name, the report and the period at the top, without the menus and buttons — the version that goes in the auditor’s file. Choose “Save as PDF” in the print dialog if you want a file rather than paper.</w:t>
      </w:r>
    </w:p>
    <w:p>
      <w:pPr>
        <w:pBdr>
          <w:top w:val="single" w:color="B8860B" w:sz="2"/>
          <w:bottom w:val="single" w:color="B8860B" w:sz="2"/>
          <w:left w:val="single" w:color="B8860B" w:sz="12"/>
          <w:right w:val="single" w:color="B8860B" w:sz="2"/>
        </w:pBdr>
        <w:shd w:fill="FBF3DA" w:val="clear"/>
        <w:spacing w:after="140" w:before="60"/>
      </w:pPr>
      <w:r>
        <w:rPr>
          <w:b/>
          <w:bCs/>
          <w:color w:val="B8860B"/>
        </w:rPr>
        <w:t xml:space="preserve">Tip  </w:t>
      </w:r>
      <w:r>
        <w:t xml:space="preserve">Export gives you the same figures as a spreadsheet to work on. Print gives you the document to sign and file. They are for different jobs.</w:t>
      </w:r>
    </w:p>
    <w:p>
      <w:pPr>
        <w:pStyle w:val="Heading2"/>
        <w:spacing w:after="100" w:before="240"/>
      </w:pPr>
      <w:r>
        <w:t xml:space="preserve">4.15 Connecting your existing Tally</w:t>
      </w:r>
    </w:p>
    <w:p>
      <w:pPr>
        <w:pStyle w:val="ListParagraph"/>
        <w:numPr>
          <w:ilvl w:val="0"/>
          <w:numId w:val="16"/>
        </w:numPr>
        <w:spacing w:after="40"/>
      </w:pPr>
      <w:r>
        <w:t xml:space="preserve">In Tally, enable the HTTP gateway (Gateway of Tally → F1 → Connectivity → “Act as: Both/Server”, port 9000).</w:t>
      </w:r>
    </w:p>
    <w:p>
      <w:pPr>
        <w:pStyle w:val="ListParagraph"/>
        <w:numPr>
          <w:ilvl w:val="0"/>
          <w:numId w:val="16"/>
        </w:numPr>
        <w:spacing w:after="40"/>
      </w:pPr>
      <w:r>
        <w:t xml:space="preserve">In the ERP open Finance → Tally Sync and enter the Tally computer's host/IP, port and the exact company name, then Save.</w:t>
      </w:r>
    </w:p>
    <w:p>
      <w:pPr>
        <w:pStyle w:val="ListParagraph"/>
        <w:numPr>
          <w:ilvl w:val="0"/>
          <w:numId w:val="16"/>
        </w:numPr>
        <w:spacing w:after="40"/>
      </w:pPr>
      <w:r>
        <w:t xml:space="preserve">Click Test connection to confirm the ERP can reach Tally.</w:t>
      </w:r>
    </w:p>
    <w:p>
      <w:pPr>
        <w:pStyle w:val="ListParagraph"/>
        <w:numPr>
          <w:ilvl w:val="0"/>
          <w:numId w:val="16"/>
        </w:numPr>
        <w:spacing w:after="40"/>
      </w:pPr>
      <w:r>
        <w:t xml:space="preserve">Click Import ledgers from Tally to pull your accounts in.</w:t>
      </w:r>
    </w:p>
    <w:p>
      <w:pPr>
        <w:pBdr>
          <w:top w:val="single" w:color="B8860B" w:sz="2"/>
          <w:bottom w:val="single" w:color="B8860B" w:sz="2"/>
          <w:left w:val="single" w:color="B8860B" w:sz="12"/>
          <w:right w:val="single" w:color="B8860B" w:sz="2"/>
        </w:pBdr>
        <w:shd w:fill="FBF3DA" w:val="clear"/>
        <w:spacing w:after="140" w:before="60"/>
      </w:pPr>
      <w:r>
        <w:rPr>
          <w:b/>
          <w:bCs/>
          <w:color w:val="B8860B"/>
        </w:rPr>
        <w:t xml:space="preserve">Tip  </w:t>
      </w:r>
      <w:r>
        <w:t xml:space="preserve">The ERP and Tally must be on the same network. If Test connection fails, the message tells you exactly what is wrong.</w:t>
      </w:r>
    </w:p>
    <w:p>
      <w:pPr>
        <w:spacing w:after="20" w:before="100"/>
        <w:jc w:val="center"/>
      </w:pPr>
      <w:r>
        <w:drawing>
          <wp:inline distT="0" distB="0" distL="0" distR="0">
            <wp:extent cx="5715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971800"/>
                    </a:xfrm>
                    <a:prstGeom prst="rect">
                      <a:avLst/>
                    </a:prstGeom>
                  </pic:spPr>
                </pic:pic>
              </a:graphicData>
            </a:graphic>
          </wp:inline>
        </w:drawing>
      </w:r>
    </w:p>
    <w:p>
      <w:pPr>
        <w:pBdr>
          <w:bottom w:val="single" w:color="EEF3F9" w:sz="2"/>
        </w:pBdr>
        <w:spacing w:after="200"/>
        <w:jc w:val="center"/>
      </w:pPr>
      <w:r>
        <w:rPr>
          <w:i/>
          <w:iCs/>
          <w:color w:val="667788"/>
          <w:sz w:val="16"/>
          <w:szCs w:val="16"/>
        </w:rPr>
        <w:t xml:space="preserve">Figure 9: The Tally Sync page</w:t>
      </w:r>
    </w:p>
    <w:p>
      <w:r>
        <w:br w:type="page"/>
      </w:r>
    </w:p>
    <w:p>
      <w:pPr>
        <w:pStyle w:val="Heading1"/>
        <w:spacing w:after="140" w:before="320"/>
      </w:pPr>
      <w:r>
        <w:t xml:space="preserve">5. Human Resources</w:t>
      </w:r>
    </w:p>
    <w:p>
      <w:pPr>
        <w:spacing w:after="120"/>
      </w:pPr>
      <w:r>
        <w:t xml:space="preserve">HR covers the full employee life-cycle. It is organised into tabs: Employees, Onboarding, Payroll, Leave, Attendance, Certifications, Separation, Compliance and Job Assignments.</w:t>
      </w:r>
    </w:p>
    <w:p>
      <w:pPr>
        <w:pStyle w:val="Heading2"/>
        <w:spacing w:after="100" w:before="240"/>
      </w:pPr>
      <w:r>
        <w:t xml:space="preserve">5.1 Employees &amp; profiles</w:t>
      </w:r>
    </w:p>
    <w:p>
      <w:pPr>
        <w:pStyle w:val="ListParagraph"/>
        <w:numPr>
          <w:ilvl w:val="0"/>
          <w:numId w:val="17"/>
        </w:numPr>
        <w:spacing w:after="40"/>
      </w:pPr>
      <w:r>
        <w:t xml:space="preserve">Open HR &amp; Admin → Employees and click Add employee.</w:t>
      </w:r>
    </w:p>
    <w:p>
      <w:pPr>
        <w:pStyle w:val="ListParagraph"/>
        <w:numPr>
          <w:ilvl w:val="0"/>
          <w:numId w:val="17"/>
        </w:numPr>
        <w:spacing w:after="40"/>
      </w:pPr>
      <w:r>
        <w:t xml:space="preserve">Fill the basics (name, department, designation, salary) and Save.</w:t>
      </w:r>
    </w:p>
    <w:p>
      <w:pPr>
        <w:pStyle w:val="ListParagraph"/>
        <w:numPr>
          <w:ilvl w:val="0"/>
          <w:numId w:val="17"/>
        </w:numPr>
        <w:spacing w:after="40"/>
      </w:pPr>
      <w:r>
        <w:t xml:space="preserve">Click any employee's name to open their full profile.</w:t>
      </w:r>
    </w:p>
    <w:p>
      <w:pPr>
        <w:spacing w:after="120"/>
      </w:pPr>
      <w:r>
        <w:t xml:space="preserve">A profile holds personal details, UAE documents (Emirates ID, passport, visa, labour card) with expiry dates, banking/WPS details, uploaded files and any custom fields. Filling the expiry dates is what powers the compliance and expiry alerts.</w:t>
      </w:r>
    </w:p>
    <w:p>
      <w:pPr>
        <w:pBdr>
          <w:top w:val="single" w:color="B8860B" w:sz="2"/>
          <w:bottom w:val="single" w:color="B8860B" w:sz="2"/>
          <w:left w:val="single" w:color="B8860B" w:sz="12"/>
          <w:right w:val="single" w:color="B8860B" w:sz="2"/>
        </w:pBdr>
        <w:shd w:fill="FBF3DA" w:val="clear"/>
        <w:spacing w:after="140" w:before="60"/>
      </w:pPr>
      <w:r>
        <w:rPr>
          <w:b/>
          <w:bCs/>
          <w:color w:val="B8860B"/>
        </w:rPr>
        <w:t xml:space="preserve">Tip  </w:t>
      </w:r>
      <w:r>
        <w:t xml:space="preserve">Departments, designations and grades come from Master Data — set those up first so the dropdowns are ready.</w:t>
      </w:r>
    </w:p>
    <w:p>
      <w:pPr>
        <w:spacing w:after="20" w:before="10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171825"/>
                    </a:xfrm>
                    <a:prstGeom prst="rect">
                      <a:avLst/>
                    </a:prstGeom>
                  </pic:spPr>
                </pic:pic>
              </a:graphicData>
            </a:graphic>
          </wp:inline>
        </w:drawing>
      </w:r>
    </w:p>
    <w:p>
      <w:pPr>
        <w:pBdr>
          <w:bottom w:val="single" w:color="EEF3F9" w:sz="2"/>
        </w:pBdr>
        <w:spacing w:after="200"/>
        <w:jc w:val="center"/>
      </w:pPr>
      <w:r>
        <w:rPr>
          <w:i/>
          <w:iCs/>
          <w:color w:val="667788"/>
          <w:sz w:val="16"/>
          <w:szCs w:val="16"/>
        </w:rPr>
        <w:t xml:space="preserve">Figure 10: The Employees list</w:t>
      </w:r>
    </w:p>
    <w:p>
      <w:pPr>
        <w:pStyle w:val="Heading2"/>
        <w:spacing w:after="100" w:before="240"/>
      </w:pPr>
      <w:r>
        <w:t xml:space="preserve">5.2 Onboarding</w:t>
      </w:r>
    </w:p>
    <w:p>
      <w:pPr>
        <w:pStyle w:val="ListParagraph"/>
        <w:numPr>
          <w:ilvl w:val="0"/>
          <w:numId w:val="18"/>
        </w:numPr>
        <w:spacing w:after="40"/>
      </w:pPr>
      <w:r>
        <w:t xml:space="preserve">Raise a requisition for the role you need to fill.</w:t>
      </w:r>
    </w:p>
    <w:p>
      <w:pPr>
        <w:pStyle w:val="ListParagraph"/>
        <w:numPr>
          <w:ilvl w:val="0"/>
          <w:numId w:val="18"/>
        </w:numPr>
        <w:spacing w:after="40"/>
      </w:pPr>
      <w:r>
        <w:t xml:space="preserve">Add candidates and move them through the stages.</w:t>
      </w:r>
    </w:p>
    <w:p>
      <w:pPr>
        <w:pStyle w:val="ListParagraph"/>
        <w:numPr>
          <w:ilvl w:val="0"/>
          <w:numId w:val="18"/>
        </w:numPr>
        <w:spacing w:after="40"/>
      </w:pPr>
      <w:r>
        <w:t xml:space="preserve">When you hire a candidate, an employee record and a joining checklist are created automatically.</w:t>
      </w:r>
    </w:p>
    <w:p>
      <w:pPr>
        <w:spacing w:after="20" w:before="100"/>
        <w:jc w:val="center"/>
      </w:pPr>
      <w:r>
        <w:drawing>
          <wp:inline distT="0" distB="0" distL="0" distR="0">
            <wp:extent cx="5715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57550"/>
                    </a:xfrm>
                    <a:prstGeom prst="rect">
                      <a:avLst/>
                    </a:prstGeom>
                  </pic:spPr>
                </pic:pic>
              </a:graphicData>
            </a:graphic>
          </wp:inline>
        </w:drawing>
      </w:r>
    </w:p>
    <w:p>
      <w:pPr>
        <w:pBdr>
          <w:bottom w:val="single" w:color="EEF3F9" w:sz="2"/>
        </w:pBdr>
        <w:spacing w:after="200"/>
        <w:jc w:val="center"/>
      </w:pPr>
      <w:r>
        <w:rPr>
          <w:i/>
          <w:iCs/>
          <w:color w:val="667788"/>
          <w:sz w:val="16"/>
          <w:szCs w:val="16"/>
        </w:rPr>
        <w:t xml:space="preserve">Figure 11: Onboarding — raising a requisition</w:t>
      </w:r>
    </w:p>
    <w:p>
      <w:pPr>
        <w:pStyle w:val="Heading2"/>
        <w:spacing w:after="100" w:before="240"/>
      </w:pPr>
      <w:r>
        <w:t xml:space="preserve">5.3 Payroll</w:t>
      </w:r>
    </w:p>
    <w:p>
      <w:pPr>
        <w:spacing w:after="120"/>
      </w:pPr>
      <w:r>
        <w:t xml:space="preserve">A payroll run is one month of salaries for one company. The system reads each employee’s salary structure and builds a payslip for every active employee, so you never type the figures in yourself.</w:t>
      </w:r>
    </w:p>
    <w:p>
      <w:pPr>
        <w:pStyle w:val="ListParagraph"/>
        <w:numPr>
          <w:ilvl w:val="0"/>
          <w:numId w:val="19"/>
        </w:numPr>
        <w:spacing w:after="40"/>
      </w:pPr>
      <w:r>
        <w:t xml:space="preserve">Click “Run payroll” and pick the month — for example September 2026.</w:t>
      </w:r>
    </w:p>
    <w:p>
      <w:pPr>
        <w:pStyle w:val="ListParagraph"/>
        <w:numPr>
          <w:ilvl w:val="0"/>
          <w:numId w:val="19"/>
        </w:numPr>
        <w:spacing w:after="40"/>
      </w:pPr>
      <w:r>
        <w:t xml:space="preserve">Payslips are generated automatically: Basic + Allowances, less any salary advance instalment due, gives Net Pay.</w:t>
      </w:r>
    </w:p>
    <w:p>
      <w:pPr>
        <w:pStyle w:val="ListParagraph"/>
        <w:numPr>
          <w:ilvl w:val="0"/>
          <w:numId w:val="19"/>
        </w:numPr>
        <w:spacing w:after="40"/>
      </w:pPr>
      <w:r>
        <w:t xml:space="preserve">Review the list. The Advance column shows what is being recovered from each person this month.</w:t>
      </w:r>
    </w:p>
    <w:p>
      <w:pPr>
        <w:pStyle w:val="ListParagraph"/>
        <w:numPr>
          <w:ilvl w:val="0"/>
          <w:numId w:val="19"/>
        </w:numPr>
        <w:spacing w:after="40"/>
      </w:pPr>
      <w:r>
        <w:t xml:space="preserve">Move the run from Draft → Approved → Paid. Advance balances only reduce when the run is marked Paid.</w:t>
      </w:r>
    </w:p>
    <w:p>
      <w:pPr>
        <w:pBdr>
          <w:top w:val="single" w:color="B8860B" w:sz="2"/>
          <w:bottom w:val="single" w:color="B8860B" w:sz="2"/>
          <w:left w:val="single" w:color="B8860B" w:sz="12"/>
          <w:right w:val="single" w:color="B8860B" w:sz="2"/>
        </w:pBdr>
        <w:shd w:fill="FBF3DA" w:val="clear"/>
        <w:spacing w:after="140" w:before="60"/>
      </w:pPr>
      <w:r>
        <w:rPr>
          <w:b/>
          <w:bCs/>
          <w:color w:val="B8860B"/>
        </w:rPr>
        <w:t xml:space="preserve">Tip  </w:t>
      </w:r>
      <w:r>
        <w:t xml:space="preserve">Only one payroll run is allowed per company per month. If you made a mistake, delete the Draft run and create it again — Approved and Paid runs cannot be deleted, on purpose, so the history stays trustworthy.</w:t>
      </w:r>
    </w:p>
    <w:p>
      <w:pPr>
        <w:spacing w:after="20" w:before="10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171825"/>
                    </a:xfrm>
                    <a:prstGeom prst="rect">
                      <a:avLst/>
                    </a:prstGeom>
                  </pic:spPr>
                </pic:pic>
              </a:graphicData>
            </a:graphic>
          </wp:inline>
        </w:drawing>
      </w:r>
    </w:p>
    <w:p>
      <w:pPr>
        <w:pBdr>
          <w:bottom w:val="single" w:color="EEF3F9" w:sz="2"/>
        </w:pBdr>
        <w:spacing w:after="200"/>
        <w:jc w:val="center"/>
      </w:pPr>
      <w:r>
        <w:rPr>
          <w:i/>
          <w:iCs/>
          <w:color w:val="667788"/>
          <w:sz w:val="16"/>
          <w:szCs w:val="16"/>
        </w:rPr>
        <w:t xml:space="preserve">Figure 12: Payroll runs and payslips</w:t>
      </w:r>
    </w:p>
    <w:p>
      <w:pPr>
        <w:pStyle w:val="Heading3"/>
        <w:spacing w:after="80" w:before="180"/>
      </w:pPr>
      <w:r>
        <w:t xml:space="preserve">Salary advances</w:t>
      </w:r>
    </w:p>
    <w:p>
      <w:pPr>
        <w:spacing w:after="120"/>
      </w:pPr>
      <w:r>
        <w:t xml:space="preserve">An advance is money given to an employee before payday — for a flight home, a deposit, an emergency. Rather than remembering to deduct it every month, you record it once and the system takes a fixed amount off each payslip until it is repaid.</w:t>
      </w:r>
    </w:p>
    <w:p>
      <w:pPr>
        <w:pStyle w:val="ListParagraph"/>
        <w:numPr>
          <w:ilvl w:val="0"/>
          <w:numId w:val="20"/>
        </w:numPr>
        <w:spacing w:after="40"/>
      </w:pPr>
      <w:r>
        <w:t xml:space="preserve">On the Payroll screen click “New advance”.</w:t>
      </w:r>
    </w:p>
    <w:p>
      <w:pPr>
        <w:pStyle w:val="ListParagraph"/>
        <w:numPr>
          <w:ilvl w:val="0"/>
          <w:numId w:val="20"/>
        </w:numPr>
        <w:spacing w:after="40"/>
      </w:pPr>
      <w:r>
        <w:t xml:space="preserve">Choose the employee, enter the total amount given and how much to recover each month.</w:t>
      </w:r>
    </w:p>
    <w:p>
      <w:pPr>
        <w:pStyle w:val="ListParagraph"/>
        <w:numPr>
          <w:ilvl w:val="0"/>
          <w:numId w:val="20"/>
        </w:numPr>
        <w:spacing w:after="40"/>
      </w:pPr>
      <w:r>
        <w:t xml:space="preserve">Add a reason if you want it on record — “Air ticket”, “Medical”, and so on.</w:t>
      </w:r>
    </w:p>
    <w:p>
      <w:pPr>
        <w:pStyle w:val="ListParagraph"/>
        <w:numPr>
          <w:ilvl w:val="0"/>
          <w:numId w:val="20"/>
        </w:numPr>
        <w:spacing w:after="40"/>
      </w:pPr>
      <w:r>
        <w:t xml:space="preserve">The advance appears under “Active salary advances” with its outstanding balance.</w:t>
      </w:r>
    </w:p>
    <w:p>
      <w:pPr>
        <w:pStyle w:val="ListParagraph"/>
        <w:numPr>
          <w:ilvl w:val="0"/>
          <w:numId w:val="20"/>
        </w:numPr>
        <w:spacing w:after="40"/>
      </w:pPr>
      <w:r>
        <w:t xml:space="preserve">Each payroll run then deducts the monthly amount by itself, until the balance reaches zero and the advance is marked Cleared.</w:t>
      </w:r>
    </w:p>
    <w:p>
      <w:pPr>
        <w:spacing w:after="120"/>
      </w:pPr>
      <w:r>
        <w:t xml:space="preserve">Worked example. An advance of AED 6,000 is given, to be recovered at AED 1,000 a month. An employee on AED 18,000 basic plus AED 4,000 allowances takes home 18,000 + 4,000 − 1,000 = AED 21,000 that month, and the outstanding balance falls to AED 5,000 once the run is marked Paid. After six runs the advance is fully recovered.</w:t>
      </w:r>
    </w:p>
    <w:p>
      <w:pPr>
        <w:pStyle w:val="Heading3"/>
        <w:spacing w:after="80" w:before="180"/>
      </w:pPr>
      <w:r>
        <w:t xml:space="preserve">The WPS file for the bank</w:t>
      </w:r>
    </w:p>
    <w:p>
      <w:pPr>
        <w:spacing w:after="120"/>
      </w:pPr>
      <w:r>
        <w:t xml:space="preserve">In the UAE, salaries must be paid through the Wage Protection System (WPS). Your bank needs a file called a SIF — Salary Information File — listing who is paid, how much, and into which account. The system builds that file from your payroll run, so nobody has to format it by hand.</w:t>
      </w:r>
    </w:p>
    <w:p>
      <w:pPr>
        <w:pStyle w:val="ListParagraph"/>
        <w:numPr>
          <w:ilvl w:val="0"/>
          <w:numId w:val="21"/>
        </w:numPr>
        <w:spacing w:after="40"/>
      </w:pPr>
      <w:r>
        <w:t xml:space="preserve">One-time setup: at the bottom of the Payroll screen, enter the WPS employer ID and the bank routing code. Your bank provides both.</w:t>
      </w:r>
    </w:p>
    <w:p>
      <w:pPr>
        <w:pStyle w:val="ListParagraph"/>
        <w:numPr>
          <w:ilvl w:val="0"/>
          <w:numId w:val="21"/>
        </w:numPr>
        <w:spacing w:after="40"/>
      </w:pPr>
      <w:r>
        <w:t xml:space="preserve">Make sure each employee has three details on their profile: labour card number, IBAN, and their own bank routing code (HR → Employees → open the employee → Banking).</w:t>
      </w:r>
    </w:p>
    <w:p>
      <w:pPr>
        <w:pStyle w:val="ListParagraph"/>
        <w:numPr>
          <w:ilvl w:val="0"/>
          <w:numId w:val="21"/>
        </w:numPr>
        <w:spacing w:after="40"/>
      </w:pPr>
      <w:r>
        <w:t xml:space="preserve">Open a payroll run and click “Download WPS file”.</w:t>
      </w:r>
    </w:p>
    <w:p>
      <w:pPr>
        <w:pStyle w:val="ListParagraph"/>
        <w:numPr>
          <w:ilvl w:val="0"/>
          <w:numId w:val="21"/>
        </w:numPr>
        <w:spacing w:after="40"/>
      </w:pPr>
      <w:r>
        <w:t xml:space="preserve">Upload the downloaded .sif file to your bank’s portal.</w:t>
      </w:r>
    </w:p>
    <w:p>
      <w:pPr>
        <w:pBdr>
          <w:top w:val="single" w:color="B8860B" w:sz="2"/>
          <w:bottom w:val="single" w:color="B8860B" w:sz="2"/>
          <w:left w:val="single" w:color="B8860B" w:sz="12"/>
          <w:right w:val="single" w:color="B8860B" w:sz="2"/>
        </w:pBdr>
        <w:shd w:fill="FBF3DA" w:val="clear"/>
        <w:spacing w:after="140" w:before="60"/>
      </w:pPr>
      <w:r>
        <w:rPr>
          <w:b/>
          <w:bCs/>
          <w:color w:val="B8860B"/>
        </w:rPr>
        <w:t xml:space="preserve">Tip  </w:t>
      </w:r>
      <w:r>
        <w:t xml:space="preserve">If anyone is missing a labour card number, IBAN or routing code, the system names them for you — and still produces the file for everyone else, so one incomplete record never holds up the whole payroll.</w:t>
      </w:r>
    </w:p>
    <w:p>
      <w:pPr>
        <w:pStyle w:val="Heading2"/>
        <w:spacing w:after="100" w:before="240"/>
      </w:pPr>
      <w:r>
        <w:t xml:space="preserve">5.4 Leave</w:t>
      </w:r>
    </w:p>
    <w:p>
      <w:pPr>
        <w:spacing w:after="120"/>
      </w:pPr>
      <w:r>
        <w:t xml:space="preserve">An employee (or HR on their behalf) submits a leave request; when it is approved, the days are deducted from that employee's annual-leave balance.</w:t>
      </w:r>
    </w:p>
    <w:p>
      <w:pPr>
        <w:spacing w:after="20" w:before="100"/>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076575"/>
                    </a:xfrm>
                    <a:prstGeom prst="rect">
                      <a:avLst/>
                    </a:prstGeom>
                  </pic:spPr>
                </pic:pic>
              </a:graphicData>
            </a:graphic>
          </wp:inline>
        </w:drawing>
      </w:r>
    </w:p>
    <w:p>
      <w:pPr>
        <w:pBdr>
          <w:bottom w:val="single" w:color="EEF3F9" w:sz="2"/>
        </w:pBdr>
        <w:spacing w:after="200"/>
        <w:jc w:val="center"/>
      </w:pPr>
      <w:r>
        <w:rPr>
          <w:i/>
          <w:iCs/>
          <w:color w:val="667788"/>
          <w:sz w:val="16"/>
          <w:szCs w:val="16"/>
        </w:rPr>
        <w:t xml:space="preserve">Figure 13: Leave requests and balances</w:t>
      </w:r>
    </w:p>
    <w:p>
      <w:pPr>
        <w:pStyle w:val="Heading2"/>
        <w:spacing w:after="100" w:before="240"/>
      </w:pPr>
      <w:r>
        <w:t xml:space="preserve">5.5 Attendance — the Daily Muster</w:t>
      </w:r>
    </w:p>
    <w:p>
      <w:pPr>
        <w:spacing w:after="120"/>
      </w:pPr>
      <w:r>
        <w:t xml:space="preserve">The Muster assumes everyone is Present. The timekeeper only taps the exceptions, then saves — so marking a large crew takes a few taps instead of a row each.</w:t>
      </w:r>
    </w:p>
    <w:p>
      <w:pPr>
        <w:pStyle w:val="ListParagraph"/>
        <w:numPr>
          <w:ilvl w:val="0"/>
          <w:numId w:val="22"/>
        </w:numPr>
        <w:spacing w:after="40"/>
      </w:pPr>
      <w:r>
        <w:t xml:space="preserve">Open HR → Attendance and check the date at the top.</w:t>
      </w:r>
    </w:p>
    <w:p>
      <w:pPr>
        <w:pStyle w:val="ListParagraph"/>
        <w:numPr>
          <w:ilvl w:val="0"/>
          <w:numId w:val="22"/>
        </w:numPr>
        <w:spacing w:after="40"/>
      </w:pPr>
      <w:r>
        <w:t xml:space="preserve">Use the department chips to filter to your crew if needed.</w:t>
      </w:r>
    </w:p>
    <w:p>
      <w:pPr>
        <w:pStyle w:val="ListParagraph"/>
        <w:numPr>
          <w:ilvl w:val="0"/>
          <w:numId w:val="22"/>
        </w:numPr>
        <w:spacing w:after="40"/>
      </w:pPr>
      <w:r>
        <w:t xml:space="preserve">Tap A (Absent), L (Leave), ½ (Half-day) or Off only for people who are not fully present.</w:t>
      </w:r>
    </w:p>
    <w:p>
      <w:pPr>
        <w:pStyle w:val="ListParagraph"/>
        <w:numPr>
          <w:ilvl w:val="0"/>
          <w:numId w:val="22"/>
        </w:numPr>
        <w:spacing w:after="40"/>
      </w:pPr>
      <w:r>
        <w:t xml:space="preserve">Click Save muster.</w:t>
      </w:r>
    </w:p>
    <w:p>
      <w:pPr>
        <w:spacing w:after="20" w:before="10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19450"/>
                    </a:xfrm>
                    <a:prstGeom prst="rect">
                      <a:avLst/>
                    </a:prstGeom>
                  </pic:spPr>
                </pic:pic>
              </a:graphicData>
            </a:graphic>
          </wp:inline>
        </w:drawing>
      </w:r>
    </w:p>
    <w:p>
      <w:pPr>
        <w:pBdr>
          <w:bottom w:val="single" w:color="EEF3F9" w:sz="2"/>
        </w:pBdr>
        <w:spacing w:after="200"/>
        <w:jc w:val="center"/>
      </w:pPr>
      <w:r>
        <w:rPr>
          <w:i/>
          <w:iCs/>
          <w:color w:val="667788"/>
          <w:sz w:val="16"/>
          <w:szCs w:val="16"/>
        </w:rPr>
        <w:t xml:space="preserve">Figure 14: The Daily Muster</w:t>
      </w:r>
    </w:p>
    <w:p>
      <w:pPr>
        <w:pStyle w:val="Heading3"/>
        <w:spacing w:after="80" w:before="180"/>
      </w:pPr>
      <w:r>
        <w:t xml:space="preserve">Importing from a punch machine</w:t>
      </w:r>
    </w:p>
    <w:p>
      <w:pPr>
        <w:pStyle w:val="ListParagraph"/>
        <w:numPr>
          <w:ilvl w:val="0"/>
          <w:numId w:val="23"/>
        </w:numPr>
        <w:spacing w:after="40"/>
      </w:pPr>
      <w:r>
        <w:t xml:space="preserve">Give each employee their device enrolment number in the Biometric ID field on their profile.</w:t>
      </w:r>
    </w:p>
    <w:p>
      <w:pPr>
        <w:pStyle w:val="ListParagraph"/>
        <w:numPr>
          <w:ilvl w:val="0"/>
          <w:numId w:val="23"/>
        </w:numPr>
        <w:spacing w:after="40"/>
      </w:pPr>
      <w:r>
        <w:t xml:space="preserve">Export the day's punch log from your biometric device (CSV or text).</w:t>
      </w:r>
    </w:p>
    <w:p>
      <w:pPr>
        <w:pStyle w:val="ListParagraph"/>
        <w:numPr>
          <w:ilvl w:val="0"/>
          <w:numId w:val="23"/>
        </w:numPr>
        <w:spacing w:after="40"/>
      </w:pPr>
      <w:r>
        <w:t xml:space="preserve">On HR → Attendance use Import from punch machine to upload it.</w:t>
      </w:r>
    </w:p>
    <w:p>
      <w:pPr>
        <w:pStyle w:val="ListParagraph"/>
        <w:numPr>
          <w:ilvl w:val="0"/>
          <w:numId w:val="23"/>
        </w:numPr>
        <w:spacing w:after="40"/>
      </w:pPr>
      <w:r>
        <w:t xml:space="preserve">The system matches each punch to an employee, takes first-in / last-out, and fills their hours and status. Any unmatched device IDs are listed so you can fix them.</w:t>
      </w:r>
    </w:p>
    <w:p>
      <w:pPr>
        <w:spacing w:after="20" w:before="100"/>
        <w:jc w:val="center"/>
      </w:pPr>
      <w:r>
        <w:drawing>
          <wp:inline distT="0" distB="0" distL="0" distR="0">
            <wp:extent cx="5715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990850"/>
                    </a:xfrm>
                    <a:prstGeom prst="rect">
                      <a:avLst/>
                    </a:prstGeom>
                  </pic:spPr>
                </pic:pic>
              </a:graphicData>
            </a:graphic>
          </wp:inline>
        </w:drawing>
      </w:r>
    </w:p>
    <w:p>
      <w:pPr>
        <w:pBdr>
          <w:bottom w:val="single" w:color="EEF3F9" w:sz="2"/>
        </w:pBdr>
        <w:spacing w:after="200"/>
        <w:jc w:val="center"/>
      </w:pPr>
      <w:r>
        <w:rPr>
          <w:i/>
          <w:iCs/>
          <w:color w:val="667788"/>
          <w:sz w:val="16"/>
          <w:szCs w:val="16"/>
        </w:rPr>
        <w:t xml:space="preserve">Figure 15: Import from punch machine</w:t>
      </w:r>
    </w:p>
    <w:p>
      <w:pPr>
        <w:pStyle w:val="Heading2"/>
        <w:spacing w:after="100" w:before="240"/>
      </w:pPr>
      <w:r>
        <w:t xml:space="preserve">5.6 Certifications &amp; medicals</w:t>
      </w:r>
    </w:p>
    <w:p>
      <w:pPr>
        <w:spacing w:after="120"/>
      </w:pPr>
      <w:r>
        <w:t xml:space="preserve">Record each certificate (competency, safety or medical) with its expiry date. Anything within 60 days shows amber and expired shows red, and it appears in Notifications and the Compliance report.</w:t>
      </w:r>
    </w:p>
    <w:p>
      <w:pPr>
        <w:spacing w:after="20" w:before="10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238500"/>
                    </a:xfrm>
                    <a:prstGeom prst="rect">
                      <a:avLst/>
                    </a:prstGeom>
                  </pic:spPr>
                </pic:pic>
              </a:graphicData>
            </a:graphic>
          </wp:inline>
        </w:drawing>
      </w:r>
    </w:p>
    <w:p>
      <w:pPr>
        <w:pBdr>
          <w:bottom w:val="single" w:color="EEF3F9" w:sz="2"/>
        </w:pBdr>
        <w:spacing w:after="200"/>
        <w:jc w:val="center"/>
      </w:pPr>
      <w:r>
        <w:rPr>
          <w:i/>
          <w:iCs/>
          <w:color w:val="667788"/>
          <w:sz w:val="16"/>
          <w:szCs w:val="16"/>
        </w:rPr>
        <w:t xml:space="preserve">Figure 16: Certifications with expiry status</w:t>
      </w:r>
    </w:p>
    <w:p>
      <w:pPr>
        <w:pStyle w:val="Heading2"/>
        <w:spacing w:after="100" w:before="240"/>
      </w:pPr>
      <w:r>
        <w:t xml:space="preserve">5.7 Separation &amp; end-of-service settlement</w:t>
      </w:r>
    </w:p>
    <w:p>
      <w:pPr>
        <w:spacing w:after="120"/>
      </w:pPr>
      <w:r>
        <w:t xml:space="preserve">When an employee resigns or is terminated, record it here and the system calculates the final settlement automatically, under the UAE Labour Law (Federal Decree-Law No. 33 of 2021).</w:t>
      </w:r>
    </w:p>
    <w:p>
      <w:pPr>
        <w:pStyle w:val="ListParagraph"/>
        <w:numPr>
          <w:ilvl w:val="0"/>
          <w:numId w:val="24"/>
        </w:numPr>
        <w:spacing w:after="40"/>
      </w:pPr>
      <w:r>
        <w:t xml:space="preserve">Open HR → Separation. Choose the employee and their last working day, and select Resignation or Termination.</w:t>
      </w:r>
    </w:p>
    <w:p>
      <w:pPr>
        <w:pStyle w:val="ListParagraph"/>
        <w:numPr>
          <w:ilvl w:val="0"/>
          <w:numId w:val="24"/>
        </w:numPr>
        <w:spacing w:after="40"/>
      </w:pPr>
      <w:r>
        <w:t xml:space="preserve">Review the live settlement on the right: gratuity, leave encashment and the net amount update as you type.</w:t>
      </w:r>
    </w:p>
    <w:p>
      <w:pPr>
        <w:pStyle w:val="ListParagraph"/>
        <w:numPr>
          <w:ilvl w:val="0"/>
          <w:numId w:val="24"/>
        </w:numPr>
        <w:spacing w:after="40"/>
      </w:pPr>
      <w:r>
        <w:t xml:space="preserve">Add any pending salary, notice pay, air ticket, deductions, or a manual adjustment (with a note).</w:t>
      </w:r>
    </w:p>
    <w:p>
      <w:pPr>
        <w:pStyle w:val="ListParagraph"/>
        <w:numPr>
          <w:ilvl w:val="0"/>
          <w:numId w:val="24"/>
        </w:numPr>
        <w:spacing w:after="40"/>
      </w:pPr>
      <w:r>
        <w:t xml:space="preserve">Click Record separation &amp; settlement. The employee is marked inactive and the settlement statement is stored.</w:t>
      </w:r>
    </w:p>
    <w:p>
      <w:pPr>
        <w:spacing w:after="20" w:before="100"/>
        <w:jc w:val="center"/>
      </w:pPr>
      <w:r>
        <w:drawing>
          <wp:inline distT="0" distB="0" distL="0" distR="0">
            <wp:extent cx="5715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981325"/>
                    </a:xfrm>
                    <a:prstGeom prst="rect">
                      <a:avLst/>
                    </a:prstGeom>
                  </pic:spPr>
                </pic:pic>
              </a:graphicData>
            </a:graphic>
          </wp:inline>
        </w:drawing>
      </w:r>
    </w:p>
    <w:p>
      <w:pPr>
        <w:pBdr>
          <w:bottom w:val="single" w:color="EEF3F9" w:sz="2"/>
        </w:pBdr>
        <w:spacing w:after="200"/>
        <w:jc w:val="center"/>
      </w:pPr>
      <w:r>
        <w:rPr>
          <w:i/>
          <w:iCs/>
          <w:color w:val="667788"/>
          <w:sz w:val="16"/>
          <w:szCs w:val="16"/>
        </w:rPr>
        <w:t xml:space="preserve">Figure 17: Separation &amp; Settlement with the live calculation</w:t>
      </w:r>
    </w:p>
    <w:p>
      <w:pPr>
        <w:pStyle w:val="Heading3"/>
        <w:spacing w:after="80" w:before="180"/>
      </w:pPr>
      <w:r>
        <w:t xml:space="preserve">How gratuity is calculated</w:t>
      </w:r>
    </w:p>
    <w:p>
      <w:pPr>
        <w:pStyle w:val="ListParagraph"/>
        <w:numPr>
          <w:ilvl w:val="0"/>
          <w:numId w:val="2"/>
        </w:numPr>
        <w:spacing w:after="40"/>
      </w:pPr>
      <w:r>
        <w:t xml:space="preserve">Based on basic salary (allowances excluded). Daily wage = basic ÷ 30.</w:t>
      </w:r>
    </w:p>
    <w:p>
      <w:pPr>
        <w:pStyle w:val="ListParagraph"/>
        <w:numPr>
          <w:ilvl w:val="0"/>
          <w:numId w:val="2"/>
        </w:numPr>
        <w:spacing w:after="40"/>
      </w:pPr>
      <w:r>
        <w:t xml:space="preserve">First 5 years: 21 days' basic pay per year of service.</w:t>
      </w:r>
    </w:p>
    <w:p>
      <w:pPr>
        <w:pStyle w:val="ListParagraph"/>
        <w:numPr>
          <w:ilvl w:val="0"/>
          <w:numId w:val="2"/>
        </w:numPr>
        <w:spacing w:after="40"/>
      </w:pPr>
      <w:r>
        <w:t xml:space="preserve">Each year beyond 5: 30 days' basic pay per year.</w:t>
      </w:r>
    </w:p>
    <w:p>
      <w:pPr>
        <w:pStyle w:val="ListParagraph"/>
        <w:numPr>
          <w:ilvl w:val="0"/>
          <w:numId w:val="2"/>
        </w:numPr>
        <w:spacing w:after="40"/>
      </w:pPr>
      <w:r>
        <w:t xml:space="preserve">Minimum 1 year of service to qualify; total capped at 2 years' basic pay.</w:t>
      </w:r>
    </w:p>
    <w:p>
      <w:pPr>
        <w:pStyle w:val="ListParagraph"/>
        <w:numPr>
          <w:ilvl w:val="0"/>
          <w:numId w:val="2"/>
        </w:numPr>
        <w:spacing w:after="40"/>
      </w:pPr>
      <w:r>
        <w:t xml:space="preserve">Resignation and termination earn the same gratuity; dismissal for gross misconduct can forfeit it.</w:t>
      </w:r>
    </w:p>
    <w:p>
      <w:pPr>
        <w:pStyle w:val="Heading3"/>
        <w:spacing w:after="80" w:before="180"/>
      </w:pPr>
      <w:r>
        <w:t xml:space="preserve">Printing the settlement statement</w:t>
      </w:r>
    </w:p>
    <w:p>
      <w:pPr>
        <w:pStyle w:val="ListParagraph"/>
        <w:numPr>
          <w:ilvl w:val="0"/>
          <w:numId w:val="25"/>
        </w:numPr>
        <w:spacing w:after="40"/>
      </w:pPr>
      <w:r>
        <w:t xml:space="preserve">In the Settlement records list, click Statement on the row.</w:t>
      </w:r>
    </w:p>
    <w:p>
      <w:pPr>
        <w:pStyle w:val="ListParagraph"/>
        <w:numPr>
          <w:ilvl w:val="0"/>
          <w:numId w:val="25"/>
        </w:numPr>
        <w:spacing w:after="40"/>
      </w:pPr>
      <w:r>
        <w:t xml:space="preserve">The full &amp; final settlement statement opens, ready to print.</w:t>
      </w:r>
    </w:p>
    <w:p>
      <w:pPr>
        <w:pStyle w:val="ListParagraph"/>
        <w:numPr>
          <w:ilvl w:val="0"/>
          <w:numId w:val="25"/>
        </w:numPr>
        <w:spacing w:after="40"/>
      </w:pPr>
      <w:r>
        <w:t xml:space="preserve">Click Print / Save as PDF, then print for signature or save the PDF.</w:t>
      </w:r>
    </w:p>
    <w:p>
      <w:pPr>
        <w:spacing w:after="20" w:before="100"/>
        <w:jc w:val="center"/>
      </w:pPr>
      <w:r>
        <w:drawing>
          <wp:inline distT="0" distB="0" distL="0" distR="0">
            <wp:extent cx="5715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191000"/>
                    </a:xfrm>
                    <a:prstGeom prst="rect">
                      <a:avLst/>
                    </a:prstGeom>
                  </pic:spPr>
                </pic:pic>
              </a:graphicData>
            </a:graphic>
          </wp:inline>
        </w:drawing>
      </w:r>
    </w:p>
    <w:p>
      <w:pPr>
        <w:pBdr>
          <w:bottom w:val="single" w:color="EEF3F9" w:sz="2"/>
        </w:pBdr>
        <w:spacing w:after="200"/>
        <w:jc w:val="center"/>
      </w:pPr>
      <w:r>
        <w:rPr>
          <w:i/>
          <w:iCs/>
          <w:color w:val="667788"/>
          <w:sz w:val="16"/>
          <w:szCs w:val="16"/>
        </w:rPr>
        <w:t xml:space="preserve">Figure 18: The Full &amp; Final Settlement Statement (print view)</w:t>
      </w:r>
    </w:p>
    <w:p>
      <w:pPr>
        <w:pStyle w:val="Heading2"/>
        <w:spacing w:after="100" w:before="240"/>
      </w:pPr>
      <w:r>
        <w:t xml:space="preserve">5.8 Compliance &amp; Expiry report</w:t>
      </w:r>
    </w:p>
    <w:p>
      <w:pPr>
        <w:spacing w:after="120"/>
      </w:pPr>
      <w:r>
        <w:t xml:space="preserve">Lists every employee's Emirates ID, visa, labour card and passport expiry, sorted soonest-first and colour-coded: red = expired, amber = due within 60 days, green = valid. It also shows headcount (own vs supplied manpower).</w:t>
      </w:r>
    </w:p>
    <w:p>
      <w:pPr>
        <w:pBdr>
          <w:top w:val="single" w:color="B8860B" w:sz="2"/>
          <w:bottom w:val="single" w:color="B8860B" w:sz="2"/>
          <w:left w:val="single" w:color="B8860B" w:sz="12"/>
          <w:right w:val="single" w:color="B8860B" w:sz="2"/>
        </w:pBdr>
        <w:shd w:fill="FBF3DA" w:val="clear"/>
        <w:spacing w:after="140" w:before="60"/>
      </w:pPr>
      <w:r>
        <w:rPr>
          <w:b/>
          <w:bCs/>
          <w:color w:val="B8860B"/>
        </w:rPr>
        <w:t xml:space="preserve">Tip  </w:t>
      </w:r>
      <w:r>
        <w:t xml:space="preserve">In the UAE, working on an expired visa or labour card carries fines — renew items before they turn red, then update the expiry on the profile to clear the alert.</w:t>
      </w:r>
    </w:p>
    <w:p>
      <w:pPr>
        <w:spacing w:after="20" w:before="100"/>
        <w:jc w:val="center"/>
      </w:pPr>
      <w:r>
        <w:drawing>
          <wp:inline distT="0" distB="0" distL="0" distR="0">
            <wp:extent cx="5715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133725"/>
                    </a:xfrm>
                    <a:prstGeom prst="rect">
                      <a:avLst/>
                    </a:prstGeom>
                  </pic:spPr>
                </pic:pic>
              </a:graphicData>
            </a:graphic>
          </wp:inline>
        </w:drawing>
      </w:r>
    </w:p>
    <w:p>
      <w:pPr>
        <w:pBdr>
          <w:bottom w:val="single" w:color="EEF3F9" w:sz="2"/>
        </w:pBdr>
        <w:spacing w:after="200"/>
        <w:jc w:val="center"/>
      </w:pPr>
      <w:r>
        <w:rPr>
          <w:i/>
          <w:iCs/>
          <w:color w:val="667788"/>
          <w:sz w:val="16"/>
          <w:szCs w:val="16"/>
        </w:rPr>
        <w:t xml:space="preserve">Figure 19: The Compliance &amp; Expiry report</w:t>
      </w:r>
    </w:p>
    <w:p>
      <w:pPr>
        <w:pStyle w:val="Heading2"/>
        <w:spacing w:after="100" w:before="240"/>
      </w:pPr>
      <w:r>
        <w:t xml:space="preserve">5.9 Job Assignments</w:t>
      </w:r>
    </w:p>
    <w:p>
      <w:pPr>
        <w:spacing w:after="120"/>
      </w:pPr>
      <w:r>
        <w:t xml:space="preserve">Create and track tasks/tickets assigned to a person or a department, with priority, due date and status.</w:t>
      </w:r>
    </w:p>
    <w:p>
      <w:pPr>
        <w:spacing w:after="20" w:before="100"/>
        <w:jc w:val="center"/>
      </w:pPr>
      <w:r>
        <w:drawing>
          <wp:inline distT="0" distB="0" distL="0" distR="0">
            <wp:extent cx="5715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086100"/>
                    </a:xfrm>
                    <a:prstGeom prst="rect">
                      <a:avLst/>
                    </a:prstGeom>
                  </pic:spPr>
                </pic:pic>
              </a:graphicData>
            </a:graphic>
          </wp:inline>
        </w:drawing>
      </w:r>
    </w:p>
    <w:p>
      <w:pPr>
        <w:pBdr>
          <w:bottom w:val="single" w:color="EEF3F9" w:sz="2"/>
        </w:pBdr>
        <w:spacing w:after="200"/>
        <w:jc w:val="center"/>
      </w:pPr>
      <w:r>
        <w:rPr>
          <w:i/>
          <w:iCs/>
          <w:color w:val="667788"/>
          <w:sz w:val="16"/>
          <w:szCs w:val="16"/>
        </w:rPr>
        <w:t xml:space="preserve">Figure 20: Job Assignments</w:t>
      </w:r>
    </w:p>
    <w:p>
      <w:r>
        <w:br w:type="page"/>
      </w:r>
    </w:p>
    <w:p>
      <w:pPr>
        <w:pStyle w:val="Heading1"/>
        <w:spacing w:after="140" w:before="320"/>
      </w:pPr>
      <w:r>
        <w:t xml:space="preserve">6. Approvals</w:t>
      </w:r>
    </w:p>
    <w:p>
      <w:pPr>
        <w:spacing w:after="120"/>
      </w:pPr>
      <w:r>
        <w:t xml:space="preserve">Requests (for example purchases or expenses) are routed to the right people for sign-off, in the order the administrator has defined (for example Project Manager → Operations Manager → Director → Managing Director).</w:t>
      </w:r>
    </w:p>
    <w:p>
      <w:pPr>
        <w:pStyle w:val="Heading2"/>
        <w:spacing w:after="100" w:before="240"/>
      </w:pPr>
      <w:r>
        <w:t xml:space="preserve">6.1 Acting on a request</w:t>
      </w:r>
    </w:p>
    <w:p>
      <w:pPr>
        <w:pStyle w:val="ListParagraph"/>
        <w:numPr>
          <w:ilvl w:val="0"/>
          <w:numId w:val="26"/>
        </w:numPr>
        <w:spacing w:after="40"/>
      </w:pPr>
      <w:r>
        <w:t xml:space="preserve">Open Approvals — requests waiting for your sign-off are listed.</w:t>
      </w:r>
    </w:p>
    <w:p>
      <w:pPr>
        <w:pStyle w:val="ListParagraph"/>
        <w:numPr>
          <w:ilvl w:val="0"/>
          <w:numId w:val="26"/>
        </w:numPr>
        <w:spacing w:after="40"/>
      </w:pPr>
      <w:r>
        <w:t xml:space="preserve">Review the details and choose Approve or Reject.</w:t>
      </w:r>
    </w:p>
    <w:p>
      <w:pPr>
        <w:pStyle w:val="ListParagraph"/>
        <w:numPr>
          <w:ilvl w:val="0"/>
          <w:numId w:val="26"/>
        </w:numPr>
        <w:spacing w:after="40"/>
      </w:pPr>
      <w:r>
        <w:t xml:space="preserve">On approval the request moves to the next approver; when the last approves, it is fully approved.</w:t>
      </w:r>
    </w:p>
    <w:p>
      <w:pPr>
        <w:pBdr>
          <w:top w:val="single" w:color="B8860B" w:sz="2"/>
          <w:bottom w:val="single" w:color="B8860B" w:sz="2"/>
          <w:left w:val="single" w:color="B8860B" w:sz="12"/>
          <w:right w:val="single" w:color="B8860B" w:sz="2"/>
        </w:pBdr>
        <w:shd w:fill="FBF3DA" w:val="clear"/>
        <w:spacing w:after="140" w:before="60"/>
      </w:pPr>
      <w:r>
        <w:rPr>
          <w:b/>
          <w:bCs/>
          <w:color w:val="B8860B"/>
        </w:rPr>
        <w:t xml:space="preserve">Tip  </w:t>
      </w:r>
      <w:r>
        <w:t xml:space="preserve">You get a notification when something needs your sign-off — click it to jump straight to the request.</w:t>
      </w:r>
    </w:p>
    <w:p>
      <w:pPr>
        <w:spacing w:after="20" w:before="10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095625"/>
                    </a:xfrm>
                    <a:prstGeom prst="rect">
                      <a:avLst/>
                    </a:prstGeom>
                  </pic:spPr>
                </pic:pic>
              </a:graphicData>
            </a:graphic>
          </wp:inline>
        </w:drawing>
      </w:r>
    </w:p>
    <w:p>
      <w:pPr>
        <w:pBdr>
          <w:bottom w:val="single" w:color="EEF3F9" w:sz="2"/>
        </w:pBdr>
        <w:spacing w:after="200"/>
        <w:jc w:val="center"/>
      </w:pPr>
      <w:r>
        <w:rPr>
          <w:i/>
          <w:iCs/>
          <w:color w:val="667788"/>
          <w:sz w:val="16"/>
          <w:szCs w:val="16"/>
        </w:rPr>
        <w:t xml:space="preserve">Figure 21: The Approvals inbox</w:t>
      </w:r>
    </w:p>
    <w:p>
      <w:r>
        <w:br w:type="page"/>
      </w:r>
    </w:p>
    <w:p>
      <w:pPr>
        <w:pStyle w:val="Heading1"/>
        <w:spacing w:after="140" w:before="320"/>
      </w:pPr>
      <w:r>
        <w:t xml:space="preserve">7. Administration &amp; Security</w:t>
      </w:r>
    </w:p>
    <w:p>
      <w:pPr>
        <w:spacing w:after="120"/>
      </w:pPr>
      <w:r>
        <w:t xml:space="preserve">These screens are for administrators.</w:t>
      </w:r>
    </w:p>
    <w:p>
      <w:pPr>
        <w:pStyle w:val="Heading2"/>
        <w:spacing w:after="100" w:before="240"/>
      </w:pPr>
      <w:r>
        <w:t xml:space="preserve">7.1 Users &amp; security</w:t>
      </w:r>
    </w:p>
    <w:p>
      <w:pPr>
        <w:pStyle w:val="ListParagraph"/>
        <w:numPr>
          <w:ilvl w:val="0"/>
          <w:numId w:val="2"/>
        </w:numPr>
        <w:spacing w:after="40"/>
      </w:pPr>
      <w:r>
        <w:t xml:space="preserve">Add users — create an account and assign a role per company.</w:t>
      </w:r>
    </w:p>
    <w:p>
      <w:pPr>
        <w:pStyle w:val="ListParagraph"/>
        <w:numPr>
          <w:ilvl w:val="0"/>
          <w:numId w:val="2"/>
        </w:numPr>
        <w:spacing w:after="40"/>
      </w:pPr>
      <w:r>
        <w:t xml:space="preserve">Reset password — generates a temporary password to hand over; the user must set their own on next sign-in.</w:t>
      </w:r>
    </w:p>
    <w:p>
      <w:pPr>
        <w:pStyle w:val="ListParagraph"/>
        <w:numPr>
          <w:ilvl w:val="0"/>
          <w:numId w:val="2"/>
        </w:numPr>
        <w:spacing w:after="40"/>
      </w:pPr>
      <w:r>
        <w:t xml:space="preserve">Lock / Unlock — block or restore an account. Accounts also auto-lock for 15 minutes after 3 wrong passwords, and administrators are notified.</w:t>
      </w:r>
    </w:p>
    <w:p>
      <w:pPr>
        <w:spacing w:after="20" w:before="100"/>
        <w:jc w:val="center"/>
      </w:pPr>
      <w:r>
        <w:drawing>
          <wp:inline distT="0" distB="0" distL="0" distR="0">
            <wp:extent cx="5715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114675"/>
                    </a:xfrm>
                    <a:prstGeom prst="rect">
                      <a:avLst/>
                    </a:prstGeom>
                  </pic:spPr>
                </pic:pic>
              </a:graphicData>
            </a:graphic>
          </wp:inline>
        </w:drawing>
      </w:r>
    </w:p>
    <w:p>
      <w:pPr>
        <w:pBdr>
          <w:bottom w:val="single" w:color="EEF3F9" w:sz="2"/>
        </w:pBdr>
        <w:spacing w:after="200"/>
        <w:jc w:val="center"/>
      </w:pPr>
      <w:r>
        <w:rPr>
          <w:i/>
          <w:iCs/>
          <w:color w:val="667788"/>
          <w:sz w:val="16"/>
          <w:szCs w:val="16"/>
        </w:rPr>
        <w:t xml:space="preserve">Figure 22: Users &amp; Roles with the security controls</w:t>
      </w:r>
    </w:p>
    <w:p>
      <w:pPr>
        <w:pStyle w:val="Heading2"/>
        <w:spacing w:after="100" w:before="240"/>
      </w:pPr>
      <w:r>
        <w:t xml:space="preserve">7.2 Access Control (screen-level rights)</w:t>
      </w:r>
    </w:p>
    <w:p>
      <w:pPr>
        <w:spacing w:after="120"/>
      </w:pPr>
      <w:r>
        <w:t xml:space="preserve">Rights are granted per screen, not just per module.</w:t>
      </w:r>
    </w:p>
    <w:p>
      <w:pPr>
        <w:pStyle w:val="ListParagraph"/>
        <w:numPr>
          <w:ilvl w:val="0"/>
          <w:numId w:val="27"/>
        </w:numPr>
        <w:spacing w:after="40"/>
      </w:pPr>
      <w:r>
        <w:t xml:space="preserve">Open Administration → Access Control and find the role.</w:t>
      </w:r>
    </w:p>
    <w:p>
      <w:pPr>
        <w:pStyle w:val="ListParagraph"/>
        <w:numPr>
          <w:ilvl w:val="0"/>
          <w:numId w:val="27"/>
        </w:numPr>
        <w:spacing w:after="40"/>
      </w:pPr>
      <w:r>
        <w:t xml:space="preserve">Click a module to expand it into its individual screens.</w:t>
      </w:r>
    </w:p>
    <w:p>
      <w:pPr>
        <w:pStyle w:val="ListParagraph"/>
        <w:numPr>
          <w:ilvl w:val="0"/>
          <w:numId w:val="27"/>
        </w:numPr>
        <w:spacing w:after="40"/>
      </w:pPr>
      <w:r>
        <w:t xml:space="preserve">Tick View / Create / Edit / Delete / Approve per screen, or use the module header to grant a whole module at once.</w:t>
      </w:r>
    </w:p>
    <w:p>
      <w:pPr>
        <w:pBdr>
          <w:top w:val="single" w:color="B8860B" w:sz="2"/>
          <w:bottom w:val="single" w:color="B8860B" w:sz="2"/>
          <w:left w:val="single" w:color="B8860B" w:sz="12"/>
          <w:right w:val="single" w:color="B8860B" w:sz="2"/>
        </w:pBdr>
        <w:shd w:fill="FBF3DA" w:val="clear"/>
        <w:spacing w:after="140" w:before="60"/>
      </w:pPr>
      <w:r>
        <w:rPr>
          <w:b/>
          <w:bCs/>
          <w:color w:val="B8860B"/>
        </w:rPr>
        <w:t xml:space="preserve">Tip  </w:t>
      </w:r>
      <w:r>
        <w:t xml:space="preserve">The badge next to each module shows the state: “No access”, “N/N screens”, or “Full module”.</w:t>
      </w:r>
    </w:p>
    <w:p>
      <w:pPr>
        <w:spacing w:after="20" w:before="100"/>
        <w:jc w:val="center"/>
      </w:pPr>
      <w:r>
        <w:drawing>
          <wp:inline distT="0" distB="0" distL="0" distR="0">
            <wp:extent cx="5715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057525"/>
                    </a:xfrm>
                    <a:prstGeom prst="rect">
                      <a:avLst/>
                    </a:prstGeom>
                  </pic:spPr>
                </pic:pic>
              </a:graphicData>
            </a:graphic>
          </wp:inline>
        </w:drawing>
      </w:r>
    </w:p>
    <w:p>
      <w:pPr>
        <w:pBdr>
          <w:bottom w:val="single" w:color="EEF3F9" w:sz="2"/>
        </w:pBdr>
        <w:spacing w:after="200"/>
        <w:jc w:val="center"/>
      </w:pPr>
      <w:r>
        <w:rPr>
          <w:i/>
          <w:iCs/>
          <w:color w:val="667788"/>
          <w:sz w:val="16"/>
          <w:szCs w:val="16"/>
        </w:rPr>
        <w:t xml:space="preserve">Figure 23: Access Control — a module expanded into screens</w:t>
      </w:r>
    </w:p>
    <w:p>
      <w:pPr>
        <w:pStyle w:val="Heading3"/>
        <w:spacing w:after="80" w:before="180"/>
      </w:pPr>
      <w:r>
        <w:t xml:space="preserve">What each right means</w:t>
      </w:r>
    </w:p>
    <w:p>
      <w:pPr>
        <w:pStyle w:val="ListParagraph"/>
        <w:numPr>
          <w:ilvl w:val="0"/>
          <w:numId w:val="2"/>
        </w:numPr>
        <w:spacing w:after="40"/>
      </w:pPr>
      <w:r>
        <w:t xml:space="preserve">View — open the screen and read what is on it.</w:t>
      </w:r>
    </w:p>
    <w:p>
      <w:pPr>
        <w:pStyle w:val="ListParagraph"/>
        <w:numPr>
          <w:ilvl w:val="0"/>
          <w:numId w:val="2"/>
        </w:numPr>
        <w:spacing w:after="40"/>
      </w:pPr>
      <w:r>
        <w:t xml:space="preserve">Create — add new records on that screen.</w:t>
      </w:r>
    </w:p>
    <w:p>
      <w:pPr>
        <w:pStyle w:val="ListParagraph"/>
        <w:numPr>
          <w:ilvl w:val="0"/>
          <w:numId w:val="2"/>
        </w:numPr>
        <w:spacing w:after="40"/>
      </w:pPr>
      <w:r>
        <w:t xml:space="preserve">Edit — change existing records.</w:t>
      </w:r>
    </w:p>
    <w:p>
      <w:pPr>
        <w:pStyle w:val="ListParagraph"/>
        <w:numPr>
          <w:ilvl w:val="0"/>
          <w:numId w:val="2"/>
        </w:numPr>
        <w:spacing w:after="40"/>
      </w:pPr>
      <w:r>
        <w:t xml:space="preserve">Delete — remove records.</w:t>
      </w:r>
    </w:p>
    <w:p>
      <w:pPr>
        <w:pStyle w:val="ListParagraph"/>
        <w:numPr>
          <w:ilvl w:val="0"/>
          <w:numId w:val="2"/>
        </w:numPr>
        <w:spacing w:after="40"/>
      </w:pPr>
      <w:r>
        <w:t xml:space="preserve">Approve — sign off items that need a decision, such as leave or a payroll run.</w:t>
      </w:r>
    </w:p>
    <w:p>
      <w:pPr>
        <w:spacing w:after="120"/>
      </w:pPr>
      <w:r>
        <w:t xml:space="preserve">These are separate on purpose. A project manager may be allowed to look at the employee list without being allowed to change it, and an accounts clerk may post journals without being allowed to delete accounts. Being able to see a figure does not make someone able to change it — which is what keeps payroll, settlements and journals trustworthy.</w:t>
      </w:r>
    </w:p>
    <w:p>
      <w:pPr>
        <w:pStyle w:val="Heading3"/>
        <w:spacing w:after="80" w:before="180"/>
      </w:pPr>
      <w:r>
        <w:t xml:space="preserve">What users experience</w:t>
      </w:r>
    </w:p>
    <w:p>
      <w:pPr>
        <w:pStyle w:val="ListParagraph"/>
        <w:numPr>
          <w:ilvl w:val="0"/>
          <w:numId w:val="2"/>
        </w:numPr>
        <w:spacing w:after="40"/>
      </w:pPr>
      <w:r>
        <w:t xml:space="preserve">If a role has no access to a screen, it does not appear in their sidebar, and typing the address simply returns them to their dashboard.</w:t>
      </w:r>
    </w:p>
    <w:p>
      <w:pPr>
        <w:pStyle w:val="ListParagraph"/>
        <w:numPr>
          <w:ilvl w:val="0"/>
          <w:numId w:val="2"/>
        </w:numPr>
        <w:spacing w:after="40"/>
      </w:pPr>
      <w:r>
        <w:t xml:space="preserve">If a role can view a screen but not change it, the buttons they may not use are not displayed at all — rather than appearing and then refusing.</w:t>
      </w:r>
    </w:p>
    <w:p>
      <w:pPr>
        <w:pStyle w:val="ListParagraph"/>
        <w:numPr>
          <w:ilvl w:val="0"/>
          <w:numId w:val="2"/>
        </w:numPr>
        <w:spacing w:after="40"/>
      </w:pPr>
      <w:r>
        <w:t xml:space="preserve">The same rules are enforced behind the screen as well, so nothing can be reached by going around the menu.</w:t>
      </w:r>
    </w:p>
    <w:p>
      <w:pPr>
        <w:pStyle w:val="Heading2"/>
        <w:spacing w:after="100" w:before="240"/>
      </w:pPr>
      <w:r>
        <w:t xml:space="preserve">7.3 Master Data</w:t>
      </w:r>
    </w:p>
    <w:p>
      <w:pPr>
        <w:spacing w:after="120"/>
      </w:pPr>
      <w:r>
        <w:t xml:space="preserve">Holds the standard dropdown lists used across the app — departments, designations, grades, leave types and nationalities. Keeping these tidy gives clean, consistent dropdowns everywhere.</w:t>
      </w:r>
    </w:p>
    <w:p>
      <w:pPr>
        <w:pStyle w:val="Heading2"/>
        <w:spacing w:after="100" w:before="240"/>
      </w:pPr>
      <w:r>
        <w:t xml:space="preserve">7.4 Custom Fields</w:t>
      </w:r>
    </w:p>
    <w:p>
      <w:pPr>
        <w:spacing w:after="120"/>
      </w:pPr>
      <w:r>
        <w:t xml:space="preserve">Add your own fields to employee profiles when the standard profile doesn't capture something you need.</w:t>
      </w:r>
    </w:p>
    <w:p>
      <w:pPr>
        <w:pStyle w:val="Heading2"/>
        <w:spacing w:after="100" w:before="240"/>
      </w:pPr>
      <w:r>
        <w:t xml:space="preserve">7.5 Audit Log</w:t>
      </w:r>
    </w:p>
    <w:p>
      <w:pPr>
        <w:spacing w:after="120"/>
      </w:pPr>
      <w:r>
        <w:t xml:space="preserve">A permanent record of key actions — created, updated, approved, deleted — with the user and time. Use it to answer “who changed this?”.</w:t>
      </w:r>
    </w:p>
    <w:p>
      <w:r>
        <w:br w:type="page"/>
      </w:r>
    </w:p>
    <w:p>
      <w:pPr>
        <w:pStyle w:val="Heading1"/>
        <w:spacing w:after="140" w:before="320"/>
      </w:pPr>
      <w:r>
        <w:t xml:space="preserve">8. Notifications &amp; Help</w:t>
      </w:r>
    </w:p>
    <w:p>
      <w:pPr>
        <w:pStyle w:val="Heading2"/>
        <w:spacing w:after="100" w:before="240"/>
      </w:pPr>
      <w:r>
        <w:t xml:space="preserve">8.1 Notifications &amp; alerts</w:t>
      </w:r>
    </w:p>
    <w:p>
      <w:pPr>
        <w:spacing w:after="120"/>
      </w:pPr>
      <w:r>
        <w:t xml:space="preserve">The bell in the top bar shows unread notifications. The Notifications screen also shows live alerts — expiring documents and certificates, overdue and urgent tasks, and approvals waiting on you. Every alert is clickable and jumps to the right screen.</w:t>
      </w:r>
    </w:p>
    <w:p>
      <w:pPr>
        <w:spacing w:after="20" w:before="100"/>
        <w:jc w:val="center"/>
      </w:pPr>
      <w:r>
        <w:drawing>
          <wp:inline distT="0" distB="0" distL="0" distR="0">
            <wp:extent cx="5715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057525"/>
                    </a:xfrm>
                    <a:prstGeom prst="rect">
                      <a:avLst/>
                    </a:prstGeom>
                  </pic:spPr>
                </pic:pic>
              </a:graphicData>
            </a:graphic>
          </wp:inline>
        </w:drawing>
      </w:r>
    </w:p>
    <w:p>
      <w:pPr>
        <w:pBdr>
          <w:bottom w:val="single" w:color="EEF3F9" w:sz="2"/>
        </w:pBdr>
        <w:spacing w:after="200"/>
        <w:jc w:val="center"/>
      </w:pPr>
      <w:r>
        <w:rPr>
          <w:i/>
          <w:iCs/>
          <w:color w:val="667788"/>
          <w:sz w:val="16"/>
          <w:szCs w:val="16"/>
        </w:rPr>
        <w:t xml:space="preserve">Figure 24: Notifications &amp; alerts</w:t>
      </w:r>
    </w:p>
    <w:p>
      <w:pPr>
        <w:pStyle w:val="Heading2"/>
        <w:spacing w:after="100" w:before="240"/>
      </w:pPr>
      <w:r>
        <w:t xml:space="preserve">8.2 Help Center</w:t>
      </w:r>
    </w:p>
    <w:p>
      <w:pPr>
        <w:spacing w:after="120"/>
      </w:pPr>
      <w:r>
        <w:t xml:space="preserve">Open Help Center from the sidebar (or the “?” in the top bar) for searchable, plain-English guides on every screen. The “?” button always shows help for the page you are currently on.</w:t>
      </w:r>
    </w:p>
    <w:p>
      <w:pPr>
        <w:spacing w:after="20" w:before="10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209925"/>
                    </a:xfrm>
                    <a:prstGeom prst="rect">
                      <a:avLst/>
                    </a:prstGeom>
                  </pic:spPr>
                </pic:pic>
              </a:graphicData>
            </a:graphic>
          </wp:inline>
        </w:drawing>
      </w:r>
    </w:p>
    <w:p>
      <w:pPr>
        <w:pBdr>
          <w:bottom w:val="single" w:color="EEF3F9" w:sz="2"/>
        </w:pBdr>
        <w:spacing w:after="200"/>
        <w:jc w:val="center"/>
      </w:pPr>
      <w:r>
        <w:rPr>
          <w:i/>
          <w:iCs/>
          <w:color w:val="667788"/>
          <w:sz w:val="16"/>
          <w:szCs w:val="16"/>
        </w:rPr>
        <w:t xml:space="preserve">Figure 25: The Help Center</w:t>
      </w:r>
    </w:p>
    <w:p>
      <w:r>
        <w:br w:type="page"/>
      </w:r>
    </w:p>
    <w:p>
      <w:pPr>
        <w:pStyle w:val="Heading1"/>
        <w:spacing w:after="140" w:before="320"/>
      </w:pPr>
      <w:r>
        <w:t xml:space="preserve">9. Everyday Good Practice</w:t>
      </w:r>
    </w:p>
    <w:p>
      <w:pPr>
        <w:pStyle w:val="ListParagraph"/>
        <w:numPr>
          <w:ilvl w:val="0"/>
          <w:numId w:val="2"/>
        </w:numPr>
        <w:spacing w:after="40"/>
      </w:pPr>
      <w:r>
        <w:t xml:space="preserve">Always confirm you are on the correct company (top-left switcher) before entering data.</w:t>
      </w:r>
    </w:p>
    <w:p>
      <w:pPr>
        <w:pStyle w:val="ListParagraph"/>
        <w:numPr>
          <w:ilvl w:val="0"/>
          <w:numId w:val="2"/>
        </w:numPr>
        <w:spacing w:after="40"/>
      </w:pPr>
      <w:r>
        <w:t xml:space="preserve">Fill document expiry dates on employee profiles so compliance alerts work.</w:t>
      </w:r>
    </w:p>
    <w:p>
      <w:pPr>
        <w:pStyle w:val="ListParagraph"/>
        <w:numPr>
          <w:ilvl w:val="0"/>
          <w:numId w:val="2"/>
        </w:numPr>
        <w:spacing w:after="40"/>
      </w:pPr>
      <w:r>
        <w:t xml:space="preserve">Enter the VAT amount on Sales and Purchase vouchers so VAT reports are accurate.</w:t>
      </w:r>
    </w:p>
    <w:p>
      <w:pPr>
        <w:pStyle w:val="ListParagraph"/>
        <w:numPr>
          <w:ilvl w:val="0"/>
          <w:numId w:val="2"/>
        </w:numPr>
        <w:spacing w:after="40"/>
      </w:pPr>
      <w:r>
        <w:t xml:space="preserve">Change your password regularly and never share your login.</w:t>
      </w:r>
    </w:p>
    <w:p>
      <w:pPr>
        <w:pStyle w:val="ListParagraph"/>
        <w:numPr>
          <w:ilvl w:val="0"/>
          <w:numId w:val="2"/>
        </w:numPr>
        <w:spacing w:after="40"/>
      </w:pPr>
      <w:r>
        <w:t xml:space="preserve">Use the “?” help button whenever a screen is unfamiliar.</w:t>
      </w:r>
    </w:p>
    <w:p>
      <w:pPr>
        <w:spacing w:after="120"/>
      </w:pPr>
      <w:r>
        <w:rPr>
          <w:b/>
          <w:bCs/>
        </w:rPr>
        <w:t xml:space="preserve">End of manual. </w:t>
      </w:r>
      <w:r>
        <w:t xml:space="preserve">For anything not covered here, use the in-app Help Center or contact your administrator.</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abstractNum w:abstractNumId="3" w15:restartNumberingAfterBreak="0">
    <w:multiLevelType w:val="hybridMultilevel"/>
    <w:lvl w:ilvl="0" w15:tentative="1">
      <w:start w:val="1"/>
      <w:numFmt w:val="decimal"/>
      <w:lvlText w:val="%1."/>
      <w:lvlJc w:val="left"/>
      <w:pPr>
        <w:ind w:left="620" w:hanging="320"/>
      </w:pPr>
    </w:lvl>
  </w:abstractNum>
  <w:abstractNum w:abstractNumId="4" w15:restartNumberingAfterBreak="0">
    <w:multiLevelType w:val="hybridMultilevel"/>
    <w:lvl w:ilvl="0" w15:tentative="1">
      <w:start w:val="1"/>
      <w:numFmt w:val="decimal"/>
      <w:lvlText w:val="%1."/>
      <w:lvlJc w:val="left"/>
      <w:pPr>
        <w:ind w:left="620" w:hanging="320"/>
      </w:pPr>
    </w:lvl>
  </w:abstractNum>
  <w:abstractNum w:abstractNumId="5" w15:restartNumberingAfterBreak="0">
    <w:multiLevelType w:val="hybridMultilevel"/>
    <w:lvl w:ilvl="0" w15:tentative="1">
      <w:start w:val="1"/>
      <w:numFmt w:val="decimal"/>
      <w:lvlText w:val="%1."/>
      <w:lvlJc w:val="left"/>
      <w:pPr>
        <w:ind w:left="620" w:hanging="320"/>
      </w:pPr>
    </w:lvl>
  </w:abstractNum>
  <w:abstractNum w:abstractNumId="6" w15:restartNumberingAfterBreak="0">
    <w:multiLevelType w:val="hybridMultilevel"/>
    <w:lvl w:ilvl="0" w15:tentative="1">
      <w:start w:val="1"/>
      <w:numFmt w:val="decimal"/>
      <w:lvlText w:val="%1."/>
      <w:lvlJc w:val="left"/>
      <w:pPr>
        <w:ind w:left="620" w:hanging="320"/>
      </w:pPr>
    </w:lvl>
  </w:abstractNum>
  <w:abstractNum w:abstractNumId="7" w15:restartNumberingAfterBreak="0">
    <w:multiLevelType w:val="hybridMultilevel"/>
    <w:lvl w:ilvl="0" w15:tentative="1">
      <w:start w:val="1"/>
      <w:numFmt w:val="decimal"/>
      <w:lvlText w:val="%1."/>
      <w:lvlJc w:val="left"/>
      <w:pPr>
        <w:ind w:left="620" w:hanging="320"/>
      </w:pPr>
    </w:lvl>
  </w:abstractNum>
  <w:abstractNum w:abstractNumId="8" w15:restartNumberingAfterBreak="0">
    <w:multiLevelType w:val="hybridMultilevel"/>
    <w:lvl w:ilvl="0" w15:tentative="1">
      <w:start w:val="1"/>
      <w:numFmt w:val="decimal"/>
      <w:lvlText w:val="%1."/>
      <w:lvlJc w:val="left"/>
      <w:pPr>
        <w:ind w:left="620" w:hanging="320"/>
      </w:pPr>
    </w:lvl>
  </w:abstractNum>
  <w:abstractNum w:abstractNumId="9" w15:restartNumberingAfterBreak="0">
    <w:multiLevelType w:val="hybridMultilevel"/>
    <w:lvl w:ilvl="0" w15:tentative="1">
      <w:start w:val="1"/>
      <w:numFmt w:val="decimal"/>
      <w:lvlText w:val="%1."/>
      <w:lvlJc w:val="left"/>
      <w:pPr>
        <w:ind w:left="620" w:hanging="320"/>
      </w:pPr>
    </w:lvl>
  </w:abstractNum>
  <w:abstractNum w:abstractNumId="10" w15:restartNumberingAfterBreak="0">
    <w:multiLevelType w:val="hybridMultilevel"/>
    <w:lvl w:ilvl="0" w15:tentative="1">
      <w:start w:val="1"/>
      <w:numFmt w:val="decimal"/>
      <w:lvlText w:val="%1."/>
      <w:lvlJc w:val="left"/>
      <w:pPr>
        <w:ind w:left="620" w:hanging="320"/>
      </w:pPr>
    </w:lvl>
  </w:abstractNum>
  <w:abstractNum w:abstractNumId="11" w15:restartNumberingAfterBreak="0">
    <w:multiLevelType w:val="hybridMultilevel"/>
    <w:lvl w:ilvl="0" w15:tentative="1">
      <w:start w:val="1"/>
      <w:numFmt w:val="decimal"/>
      <w:lvlText w:val="%1."/>
      <w:lvlJc w:val="left"/>
      <w:pPr>
        <w:ind w:left="620" w:hanging="320"/>
      </w:pPr>
    </w:lvl>
  </w:abstractNum>
  <w:abstractNum w:abstractNumId="12" w15:restartNumberingAfterBreak="0">
    <w:multiLevelType w:val="hybridMultilevel"/>
    <w:lvl w:ilvl="0" w15:tentative="1">
      <w:start w:val="1"/>
      <w:numFmt w:val="decimal"/>
      <w:lvlText w:val="%1."/>
      <w:lvlJc w:val="left"/>
      <w:pPr>
        <w:ind w:left="620" w:hanging="320"/>
      </w:pPr>
    </w:lvl>
  </w:abstractNum>
  <w:abstractNum w:abstractNumId="13" w15:restartNumberingAfterBreak="0">
    <w:multiLevelType w:val="hybridMultilevel"/>
    <w:lvl w:ilvl="0" w15:tentative="1">
      <w:start w:val="1"/>
      <w:numFmt w:val="decimal"/>
      <w:lvlText w:val="%1."/>
      <w:lvlJc w:val="left"/>
      <w:pPr>
        <w:ind w:left="620" w:hanging="320"/>
      </w:pPr>
    </w:lvl>
  </w:abstractNum>
  <w:abstractNum w:abstractNumId="14" w15:restartNumberingAfterBreak="0">
    <w:multiLevelType w:val="hybridMultilevel"/>
    <w:lvl w:ilvl="0" w15:tentative="1">
      <w:start w:val="1"/>
      <w:numFmt w:val="decimal"/>
      <w:lvlText w:val="%1."/>
      <w:lvlJc w:val="left"/>
      <w:pPr>
        <w:ind w:left="620" w:hanging="320"/>
      </w:pPr>
    </w:lvl>
  </w:abstractNum>
  <w:abstractNum w:abstractNumId="15" w15:restartNumberingAfterBreak="0">
    <w:multiLevelType w:val="hybridMultilevel"/>
    <w:lvl w:ilvl="0" w15:tentative="1">
      <w:start w:val="1"/>
      <w:numFmt w:val="decimal"/>
      <w:lvlText w:val="%1."/>
      <w:lvlJc w:val="left"/>
      <w:pPr>
        <w:ind w:left="620" w:hanging="320"/>
      </w:pPr>
    </w:lvl>
  </w:abstractNum>
  <w:abstractNum w:abstractNumId="16" w15:restartNumberingAfterBreak="0">
    <w:multiLevelType w:val="hybridMultilevel"/>
    <w:lvl w:ilvl="0" w15:tentative="1">
      <w:start w:val="1"/>
      <w:numFmt w:val="decimal"/>
      <w:lvlText w:val="%1."/>
      <w:lvlJc w:val="left"/>
      <w:pPr>
        <w:ind w:left="620" w:hanging="320"/>
      </w:pPr>
    </w:lvl>
  </w:abstractNum>
  <w:abstractNum w:abstractNumId="17" w15:restartNumberingAfterBreak="0">
    <w:multiLevelType w:val="hybridMultilevel"/>
    <w:lvl w:ilvl="0" w15:tentative="1">
      <w:start w:val="1"/>
      <w:numFmt w:val="decimal"/>
      <w:lvlText w:val="%1."/>
      <w:lvlJc w:val="left"/>
      <w:pPr>
        <w:ind w:left="620" w:hanging="320"/>
      </w:pPr>
    </w:lvl>
  </w:abstractNum>
  <w:abstractNum w:abstractNumId="18" w15:restartNumberingAfterBreak="0">
    <w:multiLevelType w:val="hybridMultilevel"/>
    <w:lvl w:ilvl="0" w15:tentative="1">
      <w:start w:val="1"/>
      <w:numFmt w:val="decimal"/>
      <w:lvlText w:val="%1."/>
      <w:lvlJc w:val="left"/>
      <w:pPr>
        <w:ind w:left="620" w:hanging="320"/>
      </w:pPr>
    </w:lvl>
  </w:abstractNum>
  <w:abstractNum w:abstractNumId="19" w15:restartNumberingAfterBreak="0">
    <w:multiLevelType w:val="hybridMultilevel"/>
    <w:lvl w:ilvl="0" w15:tentative="1">
      <w:start w:val="1"/>
      <w:numFmt w:val="decimal"/>
      <w:lvlText w:val="%1."/>
      <w:lvlJc w:val="left"/>
      <w:pPr>
        <w:ind w:left="620" w:hanging="320"/>
      </w:pPr>
    </w:lvl>
  </w:abstractNum>
  <w:abstractNum w:abstractNumId="20" w15:restartNumberingAfterBreak="0">
    <w:multiLevelType w:val="hybridMultilevel"/>
    <w:lvl w:ilvl="0" w15:tentative="1">
      <w:start w:val="1"/>
      <w:numFmt w:val="decimal"/>
      <w:lvlText w:val="%1."/>
      <w:lvlJc w:val="left"/>
      <w:pPr>
        <w:ind w:left="620" w:hanging="320"/>
      </w:pPr>
    </w:lvl>
  </w:abstractNum>
  <w:abstractNum w:abstractNumId="21" w15:restartNumberingAfterBreak="0">
    <w:multiLevelType w:val="hybridMultilevel"/>
    <w:lvl w:ilvl="0" w15:tentative="1">
      <w:start w:val="1"/>
      <w:numFmt w:val="decimal"/>
      <w:lvlText w:val="%1."/>
      <w:lvlJc w:val="left"/>
      <w:pPr>
        <w:ind w:left="620" w:hanging="320"/>
      </w:pPr>
    </w:lvl>
  </w:abstractNum>
  <w:abstractNum w:abstractNumId="22" w15:restartNumberingAfterBreak="0">
    <w:multiLevelType w:val="hybridMultilevel"/>
    <w:lvl w:ilvl="0" w15:tentative="1">
      <w:start w:val="1"/>
      <w:numFmt w:val="decimal"/>
      <w:lvlText w:val="%1."/>
      <w:lvlJc w:val="left"/>
      <w:pPr>
        <w:ind w:left="620" w:hanging="320"/>
      </w:pPr>
    </w:lvl>
  </w:abstractNum>
  <w:abstractNum w:abstractNumId="23" w15:restartNumberingAfterBreak="0">
    <w:multiLevelType w:val="hybridMultilevel"/>
    <w:lvl w:ilvl="0" w15:tentative="1">
      <w:start w:val="1"/>
      <w:numFmt w:val="decimal"/>
      <w:lvlText w:val="%1."/>
      <w:lvlJc w:val="left"/>
      <w:pPr>
        <w:ind w:left="620" w:hanging="320"/>
      </w:pPr>
    </w:lvl>
  </w:abstractNum>
  <w:abstractNum w:abstractNumId="24" w15:restartNumberingAfterBreak="0">
    <w:multiLevelType w:val="hybridMultilevel"/>
    <w:lvl w:ilvl="0" w15:tentative="1">
      <w:start w:val="1"/>
      <w:numFmt w:val="decimal"/>
      <w:lvlText w:val="%1."/>
      <w:lvlJc w:val="left"/>
      <w:pPr>
        <w:ind w:left="620" w:hanging="320"/>
      </w:pPr>
    </w:lvl>
  </w:abstractNum>
  <w:abstractNum w:abstractNumId="25" w15:restartNumberingAfterBreak="0">
    <w:multiLevelType w:val="hybridMultilevel"/>
    <w:lvl w:ilvl="0" w15:tentative="1">
      <w:start w:val="1"/>
      <w:numFmt w:val="decimal"/>
      <w:lvlText w:val="%1."/>
      <w:lvlJc w:val="left"/>
      <w:pPr>
        <w:ind w:left="620" w:hanging="320"/>
      </w:pPr>
    </w:lvl>
  </w:abstractNum>
  <w:abstractNum w:abstractNumId="26" w15:restartNumberingAfterBreak="0">
    <w:multiLevelType w:val="hybridMultilevel"/>
    <w:lvl w:ilvl="0" w15:tentative="1">
      <w:start w:val="1"/>
      <w:numFmt w:val="decimal"/>
      <w:lvlText w:val="%1."/>
      <w:lvlJc w:val="left"/>
      <w:pPr>
        <w:ind w:left="620" w:hanging="320"/>
      </w:pPr>
    </w:lvl>
  </w:abstractNum>
  <w:abstractNum w:abstractNumId="27" w15:restartNumberingAfterBreak="0">
    <w:multiLevelType w:val="hybridMultilevel"/>
    <w:lvl w:ilvl="0" w15:tentative="1">
      <w:start w:val="1"/>
      <w:numFmt w:val="decimal"/>
      <w:lvlText w:val="%1."/>
      <w:lvlJc w:val="left"/>
      <w:pPr>
        <w:ind w:left="620" w:hanging="320"/>
      </w:pPr>
    </w:lvl>
  </w:abstractNum>
  <w:abstractNum w:abstractNumId="28" w15:restartNumberingAfterBreak="0">
    <w:multiLevelType w:val="hybridMultilevel"/>
    <w:lvl w:ilvl="0" w15:tentative="1">
      <w:start w:val="1"/>
      <w:numFmt w:val="decimal"/>
      <w:lvlText w:val="%1."/>
      <w:lvlJc w:val="left"/>
      <w:pPr>
        <w:ind w:left="620" w:hanging="320"/>
      </w:pPr>
    </w:lvl>
  </w:abstractNum>
  <w:abstractNum w:abstractNumId="29" w15:restartNumberingAfterBreak="0">
    <w:multiLevelType w:val="hybridMultilevel"/>
    <w:lvl w:ilvl="0" w15:tentative="1">
      <w:start w:val="1"/>
      <w:numFmt w:val="decimal"/>
      <w:lvlText w:val="%1."/>
      <w:lvlJc w:val="left"/>
      <w:pPr>
        <w:ind w:left="620" w:hanging="320"/>
      </w:pPr>
    </w:lvl>
  </w:abstractNum>
  <w:abstractNum w:abstractNumId="30" w15:restartNumberingAfterBreak="0">
    <w:multiLevelType w:val="hybridMultilevel"/>
    <w:lvl w:ilvl="0" w15:tentative="1">
      <w:start w:val="1"/>
      <w:numFmt w:val="decimal"/>
      <w:lvlText w:val="%1."/>
      <w:lvlJc w:val="left"/>
      <w:pPr>
        <w:ind w:left="620" w:hanging="320"/>
      </w:pPr>
    </w:lvl>
  </w:abstractNum>
  <w:abstractNum w:abstractNumId="31" w15:restartNumberingAfterBreak="0">
    <w:multiLevelType w:val="hybridMultilevel"/>
    <w:lvl w:ilvl="0" w15:tentative="1">
      <w:start w:val="1"/>
      <w:numFmt w:val="decimal"/>
      <w:lvlText w:val="%1."/>
      <w:lvlJc w:val="left"/>
      <w:pPr>
        <w:ind w:left="620" w:hanging="320"/>
      </w:pPr>
    </w:lvl>
  </w:abstractNum>
  <w:abstractNum w:abstractNumId="32" w15:restartNumberingAfterBreak="0">
    <w:multiLevelType w:val="hybridMultilevel"/>
    <w:lvl w:ilvl="0" w15:tentative="1">
      <w:start w:val="1"/>
      <w:numFmt w:val="decimal"/>
      <w:lvlText w:val="%1."/>
      <w:lvlJc w:val="left"/>
      <w:pPr>
        <w:ind w:left="620" w:hanging="320"/>
      </w:pPr>
    </w:lvl>
  </w:abstractNum>
  <w:abstractNum w:abstractNumId="33" w15:restartNumberingAfterBreak="0">
    <w:multiLevelType w:val="hybridMultilevel"/>
    <w:lvl w:ilvl="0" w15:tentative="1">
      <w:start w:val="1"/>
      <w:numFmt w:val="decimal"/>
      <w:lvlText w:val="%1."/>
      <w:lvlJc w:val="left"/>
      <w:pPr>
        <w:ind w:left="620" w:hanging="320"/>
      </w:pPr>
    </w:lvl>
  </w:abstractNum>
  <w:abstractNum w:abstractNumId="34" w15:restartNumberingAfterBreak="0">
    <w:multiLevelType w:val="hybridMultilevel"/>
    <w:lvl w:ilvl="0" w15:tentative="1">
      <w:start w:val="1"/>
      <w:numFmt w:val="decimal"/>
      <w:lvlText w:val="%1."/>
      <w:lvlJc w:val="left"/>
      <w:pPr>
        <w:ind w:left="620" w:hanging="320"/>
      </w:pPr>
    </w:lvl>
  </w:abstractNum>
  <w:abstractNum w:abstractNumId="35" w15:restartNumberingAfterBreak="0">
    <w:multiLevelType w:val="hybridMultilevel"/>
    <w:lvl w:ilvl="0" w15:tentative="1">
      <w:start w:val="1"/>
      <w:numFmt w:val="decimal"/>
      <w:lvlText w:val="%1."/>
      <w:lvlJc w:val="left"/>
      <w:pPr>
        <w:ind w:left="620" w:hanging="320"/>
      </w:pPr>
    </w:lvl>
  </w:abstractNum>
  <w:abstractNum w:abstractNumId="36" w15:restartNumberingAfterBreak="0">
    <w:multiLevelType w:val="hybridMultilevel"/>
    <w:lvl w:ilvl="0" w15:tentative="1">
      <w:start w:val="1"/>
      <w:numFmt w:val="decimal"/>
      <w:lvlText w:val="%1."/>
      <w:lvlJc w:val="left"/>
      <w:pPr>
        <w:ind w:left="620" w:hanging="320"/>
      </w:pPr>
    </w:lvl>
  </w:abstractNum>
  <w:abstractNum w:abstractNumId="37" w15:restartNumberingAfterBreak="0">
    <w:multiLevelType w:val="hybridMultilevel"/>
    <w:lvl w:ilvl="0" w15:tentative="1">
      <w:start w:val="1"/>
      <w:numFmt w:val="decimal"/>
      <w:lvlText w:val="%1."/>
      <w:lvlJc w:val="left"/>
      <w:pPr>
        <w:ind w:left="620" w:hanging="320"/>
      </w:pPr>
    </w:lvl>
  </w:abstractNum>
  <w:abstractNum w:abstractNumId="38" w15:restartNumberingAfterBreak="0">
    <w:multiLevelType w:val="hybridMultilevel"/>
    <w:lvl w:ilvl="0" w15:tentative="1">
      <w:start w:val="1"/>
      <w:numFmt w:val="decimal"/>
      <w:lvlText w:val="%1."/>
      <w:lvlJc w:val="left"/>
      <w:pPr>
        <w:ind w:left="620" w:hanging="320"/>
      </w:pPr>
    </w:lvl>
  </w:abstractNum>
  <w:abstractNum w:abstractNumId="39" w15:restartNumberingAfterBreak="0">
    <w:multiLevelType w:val="hybridMultilevel"/>
    <w:lvl w:ilvl="0" w15:tentative="1">
      <w:start w:val="1"/>
      <w:numFmt w:val="decimal"/>
      <w:lvlText w:val="%1."/>
      <w:lvlJc w:val="left"/>
      <w:pPr>
        <w:ind w:left="620" w:hanging="320"/>
      </w:pPr>
    </w:lvl>
  </w:abstractNum>
  <w:abstractNum w:abstractNumId="40" w15:restartNumberingAfterBreak="0">
    <w:multiLevelType w:val="hybridMultilevel"/>
    <w:lvl w:ilvl="0" w15:tentative="1">
      <w:start w:val="1"/>
      <w:numFmt w:val="decimal"/>
      <w:lvlText w:val="%1."/>
      <w:lvlJc w:val="left"/>
      <w:pPr>
        <w:ind w:left="620" w:hanging="320"/>
      </w:pPr>
    </w:lvl>
  </w:abstractNum>
  <w:abstractNum w:abstractNumId="41" w15:restartNumberingAfterBreak="0">
    <w:multiLevelType w:val="hybridMultilevel"/>
    <w:lvl w:ilvl="0" w15:tentative="1">
      <w:start w:val="1"/>
      <w:numFmt w:val="decimal"/>
      <w:lvlText w:val="%1."/>
      <w:lvlJc w:val="left"/>
      <w:pPr>
        <w:ind w:left="620" w:hanging="320"/>
      </w:pPr>
    </w:lvl>
  </w:abstractNum>
  <w:abstractNum w:abstractNumId="42" w15:restartNumberingAfterBreak="0">
    <w:multiLevelType w:val="hybridMultilevel"/>
    <w:lvl w:ilvl="0" w15:tentative="1">
      <w:start w:val="1"/>
      <w:numFmt w:val="decimal"/>
      <w:lvlText w:val="%1."/>
      <w:lvlJc w:val="left"/>
      <w:pPr>
        <w:ind w:left="620" w:hanging="320"/>
      </w:pPr>
    </w:lvl>
  </w:abstractNum>
  <w:abstractNum w:abstractNumId="43" w15:restartNumberingAfterBreak="0">
    <w:multiLevelType w:val="hybridMultilevel"/>
    <w:lvl w:ilvl="0" w15:tentative="1">
      <w:start w:val="1"/>
      <w:numFmt w:val="decimal"/>
      <w:lvlText w:val="%1."/>
      <w:lvlJc w:val="left"/>
      <w:pPr>
        <w:ind w:left="620" w:hanging="320"/>
      </w:pPr>
    </w:lvl>
  </w:abstractNum>
  <w:abstractNum w:abstractNumId="44" w15:restartNumberingAfterBreak="0">
    <w:multiLevelType w:val="hybridMultilevel"/>
    <w:lvl w:ilvl="0" w15:tentative="1">
      <w:start w:val="1"/>
      <w:numFmt w:val="decimal"/>
      <w:lvlText w:val="%1."/>
      <w:lvlJc w:val="left"/>
      <w:pPr>
        <w:ind w:left="620" w:hanging="320"/>
      </w:pPr>
    </w:lvl>
  </w:abstractNum>
  <w:abstractNum w:abstractNumId="45" w15:restartNumberingAfterBreak="0">
    <w:multiLevelType w:val="hybridMultilevel"/>
    <w:lvl w:ilvl="0" w15:tentative="1">
      <w:start w:val="1"/>
      <w:numFmt w:val="decimal"/>
      <w:lvlText w:val="%1."/>
      <w:lvlJc w:val="left"/>
      <w:pPr>
        <w:ind w:left="620" w:hanging="320"/>
      </w:pPr>
    </w:lvl>
  </w:abstractNum>
  <w:abstractNum w:abstractNumId="46" w15:restartNumberingAfterBreak="0">
    <w:multiLevelType w:val="hybridMultilevel"/>
    <w:lvl w:ilvl="0" w15:tentative="1">
      <w:start w:val="1"/>
      <w:numFmt w:val="decimal"/>
      <w:lvlText w:val="%1."/>
      <w:lvlJc w:val="left"/>
      <w:pPr>
        <w:ind w:left="620" w:hanging="320"/>
      </w:pPr>
    </w:lvl>
  </w:abstractNum>
  <w:abstractNum w:abstractNumId="47" w15:restartNumberingAfterBreak="0">
    <w:multiLevelType w:val="hybridMultilevel"/>
    <w:lvl w:ilvl="0" w15:tentative="1">
      <w:start w:val="1"/>
      <w:numFmt w:val="decimal"/>
      <w:lvlText w:val="%1."/>
      <w:lvlJc w:val="left"/>
      <w:pPr>
        <w:ind w:left="620" w:hanging="320"/>
      </w:pPr>
    </w:lvl>
  </w:abstractNum>
  <w:abstractNum w:abstractNumId="48" w15:restartNumberingAfterBreak="0">
    <w:multiLevelType w:val="hybridMultilevel"/>
    <w:lvl w:ilvl="0" w15:tentative="1">
      <w:start w:val="1"/>
      <w:numFmt w:val="decimal"/>
      <w:lvlText w:val="%1."/>
      <w:lvlJc w:val="left"/>
      <w:pPr>
        <w:ind w:left="620" w:hanging="320"/>
      </w:pPr>
    </w:lvl>
  </w:abstractNum>
  <w:abstractNum w:abstractNumId="49" w15:restartNumberingAfterBreak="0">
    <w:multiLevelType w:val="hybridMultilevel"/>
    <w:lvl w:ilvl="0" w15:tentative="1">
      <w:start w:val="1"/>
      <w:numFmt w:val="decimal"/>
      <w:lvlText w:val="%1."/>
      <w:lvlJc w:val="left"/>
      <w:pPr>
        <w:ind w:left="620" w:hanging="320"/>
      </w:pPr>
    </w:lvl>
  </w:abstractNum>
  <w:abstractNum w:abstractNumId="50" w15:restartNumberingAfterBreak="0">
    <w:multiLevelType w:val="hybridMultilevel"/>
    <w:lvl w:ilvl="0" w15:tentative="1">
      <w:start w:val="1"/>
      <w:numFmt w:val="decimal"/>
      <w:lvlText w:val="%1."/>
      <w:lvlJc w:val="left"/>
      <w:pPr>
        <w:ind w:left="620" w:hanging="320"/>
      </w:pPr>
    </w:lvl>
  </w:abstractNum>
  <w:abstractNum w:abstractNumId="51" w15:restartNumberingAfterBreak="0">
    <w:multiLevelType w:val="hybridMultilevel"/>
    <w:lvl w:ilvl="0" w15:tentative="1">
      <w:start w:val="1"/>
      <w:numFmt w:val="decimal"/>
      <w:lvlText w:val="%1."/>
      <w:lvlJc w:val="left"/>
      <w:pPr>
        <w:ind w:left="620" w:hanging="320"/>
      </w:pPr>
    </w:lvl>
  </w:abstractNum>
  <w:abstractNum w:abstractNumId="52" w15:restartNumberingAfterBreak="0">
    <w:multiLevelType w:val="hybridMultilevel"/>
    <w:lvl w:ilvl="0" w15:tentative="1">
      <w:start w:val="1"/>
      <w:numFmt w:val="decimal"/>
      <w:lvlText w:val="%1."/>
      <w:lvlJc w:val="left"/>
      <w:pPr>
        <w:ind w:left="620" w:hanging="320"/>
      </w:pPr>
    </w:lvl>
  </w:abstractNum>
  <w:abstractNum w:abstractNumId="53" w15:restartNumberingAfterBreak="0">
    <w:multiLevelType w:val="hybridMultilevel"/>
    <w:lvl w:ilvl="0" w15:tentative="1">
      <w:start w:val="1"/>
      <w:numFmt w:val="decimal"/>
      <w:lvlText w:val="%1."/>
      <w:lvlJc w:val="left"/>
      <w:pPr>
        <w:ind w:left="620" w:hanging="320"/>
      </w:pPr>
    </w:lvl>
  </w:abstractNum>
  <w:abstractNum w:abstractNumId="54" w15:restartNumberingAfterBreak="0">
    <w:multiLevelType w:val="hybridMultilevel"/>
    <w:lvl w:ilvl="0" w15:tentative="1">
      <w:start w:val="1"/>
      <w:numFmt w:val="decimal"/>
      <w:lvlText w:val="%1."/>
      <w:lvlJc w:val="left"/>
      <w:pPr>
        <w:ind w:left="620" w:hanging="320"/>
      </w:pPr>
    </w:lvl>
  </w:abstractNum>
  <w:abstractNum w:abstractNumId="55" w15:restartNumberingAfterBreak="0">
    <w:multiLevelType w:val="hybridMultilevel"/>
    <w:lvl w:ilvl="0" w15:tentative="1">
      <w:start w:val="1"/>
      <w:numFmt w:val="decimal"/>
      <w:lvlText w:val="%1."/>
      <w:lvlJc w:val="left"/>
      <w:pPr>
        <w:ind w:left="620" w:hanging="320"/>
      </w:pPr>
    </w:lvl>
  </w:abstractNum>
  <w:abstractNum w:abstractNumId="56" w15:restartNumberingAfterBreak="0">
    <w:multiLevelType w:val="hybridMultilevel"/>
    <w:lvl w:ilvl="0" w15:tentative="1">
      <w:start w:val="1"/>
      <w:numFmt w:val="decimal"/>
      <w:lvlText w:val="%1."/>
      <w:lvlJc w:val="left"/>
      <w:pPr>
        <w:ind w:left="620" w:hanging="320"/>
      </w:pPr>
    </w:lvl>
  </w:abstractNum>
  <w:abstractNum w:abstractNumId="57" w15:restartNumberingAfterBreak="0">
    <w:multiLevelType w:val="hybridMultilevel"/>
    <w:lvl w:ilvl="0" w15:tentative="1">
      <w:start w:val="1"/>
      <w:numFmt w:val="decimal"/>
      <w:lvlText w:val="%1."/>
      <w:lvlJc w:val="left"/>
      <w:pPr>
        <w:ind w:left="620" w:hanging="320"/>
      </w:pPr>
    </w:lvl>
  </w:abstractNum>
  <w:abstractNum w:abstractNumId="58" w15:restartNumberingAfterBreak="0">
    <w:multiLevelType w:val="hybridMultilevel"/>
    <w:lvl w:ilvl="0" w15:tentative="1">
      <w:start w:val="1"/>
      <w:numFmt w:val="decimal"/>
      <w:lvlText w:val="%1."/>
      <w:lvlJc w:val="left"/>
      <w:pPr>
        <w:ind w:left="620" w:hanging="320"/>
      </w:pPr>
    </w:lvl>
  </w:abstractNum>
  <w:abstractNum w:abstractNumId="59" w15:restartNumberingAfterBreak="0">
    <w:multiLevelType w:val="hybridMultilevel"/>
    <w:lvl w:ilvl="0" w15:tentative="1">
      <w:start w:val="1"/>
      <w:numFmt w:val="decimal"/>
      <w:lvlText w:val="%1."/>
      <w:lvlJc w:val="left"/>
      <w:pPr>
        <w:ind w:left="620" w:hanging="320"/>
      </w:pPr>
    </w:lvl>
  </w:abstractNum>
  <w:abstractNum w:abstractNumId="60" w15:restartNumberingAfterBreak="0">
    <w:multiLevelType w:val="hybridMultilevel"/>
    <w:lvl w:ilvl="0" w15:tentative="1">
      <w:start w:val="1"/>
      <w:numFmt w:val="decimal"/>
      <w:lvlText w:val="%1."/>
      <w:lvlJc w:val="left"/>
      <w:pPr>
        <w:ind w:left="620" w:hanging="320"/>
      </w:pPr>
    </w:lvl>
  </w:abstractNum>
  <w:abstractNum w:abstractNumId="61" w15:restartNumberingAfterBreak="0">
    <w:multiLevelType w:val="hybridMultilevel"/>
    <w:lvl w:ilvl="0" w15:tentative="1">
      <w:start w:val="1"/>
      <w:numFmt w:val="decimal"/>
      <w:lvlText w:val="%1."/>
      <w:lvlJc w:val="left"/>
      <w:pPr>
        <w:ind w:left="620" w:hanging="320"/>
      </w:pPr>
    </w:lvl>
  </w:abstractNum>
  <w:abstractNum w:abstractNumId="62" w15:restartNumberingAfterBreak="0">
    <w:multiLevelType w:val="hybridMultilevel"/>
    <w:lvl w:ilvl="0" w15:tentative="1">
      <w:start w:val="1"/>
      <w:numFmt w:val="decimal"/>
      <w:lvlText w:val="%1."/>
      <w:lvlJc w:val="left"/>
      <w:pPr>
        <w:ind w:left="620" w:hanging="320"/>
      </w:pPr>
    </w:lvl>
  </w:abstractNum>
  <w:abstractNum w:abstractNumId="63" w15:restartNumberingAfterBreak="0">
    <w:multiLevelType w:val="hybridMultilevel"/>
    <w:lvl w:ilvl="0" w15:tentative="1">
      <w:start w:val="1"/>
      <w:numFmt w:val="decimal"/>
      <w:lvlText w:val="%1."/>
      <w:lvlJc w:val="left"/>
      <w:pPr>
        <w:ind w:left="620" w:hanging="320"/>
      </w:pPr>
    </w:lvl>
  </w:abstractNum>
  <w:abstractNum w:abstractNumId="64" w15:restartNumberingAfterBreak="0">
    <w:multiLevelType w:val="hybridMultilevel"/>
    <w:lvl w:ilvl="0" w15:tentative="1">
      <w:start w:val="1"/>
      <w:numFmt w:val="decimal"/>
      <w:lvlText w:val="%1."/>
      <w:lvlJc w:val="left"/>
      <w:pPr>
        <w:ind w:left="620" w:hanging="320"/>
      </w:pPr>
    </w:lvl>
  </w:abstractNum>
  <w:abstractNum w:abstractNumId="65" w15:restartNumberingAfterBreak="0">
    <w:multiLevelType w:val="hybridMultilevel"/>
    <w:lvl w:ilvl="0" w15:tentative="1">
      <w:start w:val="1"/>
      <w:numFmt w:val="decimal"/>
      <w:lvlText w:val="%1."/>
      <w:lvlJc w:val="left"/>
      <w:pPr>
        <w:ind w:left="620" w:hanging="320"/>
      </w:pPr>
    </w:lvl>
  </w:abstractNum>
  <w:abstractNum w:abstractNumId="66" w15:restartNumberingAfterBreak="0">
    <w:multiLevelType w:val="hybridMultilevel"/>
    <w:lvl w:ilvl="0" w15:tentative="1">
      <w:start w:val="1"/>
      <w:numFmt w:val="decimal"/>
      <w:lvlText w:val="%1."/>
      <w:lvlJc w:val="left"/>
      <w:pPr>
        <w:ind w:left="620" w:hanging="320"/>
      </w:pPr>
    </w:lvl>
  </w:abstractNum>
  <w:abstractNum w:abstractNumId="67" w15:restartNumberingAfterBreak="0">
    <w:multiLevelType w:val="hybridMultilevel"/>
    <w:lvl w:ilvl="0" w15:tentative="1">
      <w:start w:val="1"/>
      <w:numFmt w:val="decimal"/>
      <w:lvlText w:val="%1."/>
      <w:lvlJc w:val="left"/>
      <w:pPr>
        <w:ind w:left="620" w:hanging="320"/>
      </w:pPr>
    </w:lvl>
  </w:abstractNum>
  <w:abstractNum w:abstractNumId="68" w15:restartNumberingAfterBreak="0">
    <w:multiLevelType w:val="hybridMultilevel"/>
    <w:lvl w:ilvl="0" w15:tentative="1">
      <w:start w:val="1"/>
      <w:numFmt w:val="decimal"/>
      <w:lvlText w:val="%1."/>
      <w:lvlJc w:val="left"/>
      <w:pPr>
        <w:ind w:left="620" w:hanging="320"/>
      </w:pPr>
    </w:lvl>
  </w:abstractNum>
  <w:abstractNum w:abstractNumId="69" w15:restartNumberingAfterBreak="0">
    <w:multiLevelType w:val="hybridMultilevel"/>
    <w:lvl w:ilvl="0" w15:tentative="1">
      <w:start w:val="1"/>
      <w:numFmt w:val="decimal"/>
      <w:lvlText w:val="%1."/>
      <w:lvlJc w:val="left"/>
      <w:pPr>
        <w:ind w:left="620" w:hanging="320"/>
      </w:pPr>
    </w:lvl>
  </w:abstractNum>
  <w:abstractNum w:abstractNumId="70" w15:restartNumberingAfterBreak="0">
    <w:multiLevelType w:val="hybridMultilevel"/>
    <w:lvl w:ilvl="0" w15:tentative="1">
      <w:start w:val="1"/>
      <w:numFmt w:val="decimal"/>
      <w:lvlText w:val="%1."/>
      <w:lvlJc w:val="left"/>
      <w:pPr>
        <w:ind w:left="620" w:hanging="320"/>
      </w:pPr>
    </w:lvl>
  </w:abstractNum>
  <w:abstractNum w:abstractNumId="71" w15:restartNumberingAfterBreak="0">
    <w:multiLevelType w:val="hybridMultilevel"/>
    <w:lvl w:ilvl="0" w15:tentative="1">
      <w:start w:val="1"/>
      <w:numFmt w:val="decimal"/>
      <w:lvlText w:val="%1."/>
      <w:lvlJc w:val="left"/>
      <w:pPr>
        <w:ind w:left="620" w:hanging="320"/>
      </w:pPr>
    </w:lvl>
  </w:abstractNum>
  <w:abstractNum w:abstractNumId="72" w15:restartNumberingAfterBreak="0">
    <w:multiLevelType w:val="hybridMultilevel"/>
    <w:lvl w:ilvl="0" w15:tentative="1">
      <w:start w:val="1"/>
      <w:numFmt w:val="decimal"/>
      <w:lvlText w:val="%1."/>
      <w:lvlJc w:val="left"/>
      <w:pPr>
        <w:ind w:left="620" w:hanging="320"/>
      </w:pPr>
    </w:lvl>
  </w:abstractNum>
  <w:abstractNum w:abstractNumId="73" w15:restartNumberingAfterBreak="0">
    <w:multiLevelType w:val="hybridMultilevel"/>
    <w:lvl w:ilvl="0" w15:tentative="1">
      <w:start w:val="1"/>
      <w:numFmt w:val="decimal"/>
      <w:lvlText w:val="%1."/>
      <w:lvlJc w:val="left"/>
      <w:pPr>
        <w:ind w:left="620" w:hanging="320"/>
      </w:pPr>
    </w:lvl>
  </w:abstractNum>
  <w:abstractNum w:abstractNumId="74" w15:restartNumberingAfterBreak="0">
    <w:multiLevelType w:val="hybridMultilevel"/>
    <w:lvl w:ilvl="0" w15:tentative="1">
      <w:start w:val="1"/>
      <w:numFmt w:val="decimal"/>
      <w:lvlText w:val="%1."/>
      <w:lvlJc w:val="left"/>
      <w:pPr>
        <w:ind w:left="620" w:hanging="320"/>
      </w:pPr>
    </w:lvl>
  </w:abstractNum>
  <w:abstractNum w:abstractNumId="75" w15:restartNumberingAfterBreak="0">
    <w:multiLevelType w:val="hybridMultilevel"/>
    <w:lvl w:ilvl="0" w15:tentative="1">
      <w:start w:val="1"/>
      <w:numFmt w:val="decimal"/>
      <w:lvlText w:val="%1."/>
      <w:lvlJc w:val="left"/>
      <w:pPr>
        <w:ind w:left="620" w:hanging="320"/>
      </w:pPr>
    </w:lvl>
  </w:abstractNum>
  <w:abstractNum w:abstractNumId="76" w15:restartNumberingAfterBreak="0">
    <w:multiLevelType w:val="hybridMultilevel"/>
    <w:lvl w:ilvl="0" w15:tentative="1">
      <w:start w:val="1"/>
      <w:numFmt w:val="decimal"/>
      <w:lvlText w:val="%1."/>
      <w:lvlJc w:val="left"/>
      <w:pPr>
        <w:ind w:left="620" w:hanging="320"/>
      </w:pPr>
    </w:lvl>
  </w:abstractNum>
  <w:abstractNum w:abstractNumId="77" w15:restartNumberingAfterBreak="0">
    <w:multiLevelType w:val="hybridMultilevel"/>
    <w:lvl w:ilvl="0" w15:tentative="1">
      <w:start w:val="1"/>
      <w:numFmt w:val="decimal"/>
      <w:lvlText w:val="%1."/>
      <w:lvlJc w:val="left"/>
      <w:pPr>
        <w:ind w:left="620" w:hanging="320"/>
      </w:pPr>
    </w:lvl>
  </w:abstractNum>
  <w:abstractNum w:abstractNumId="78" w15:restartNumberingAfterBreak="0">
    <w:multiLevelType w:val="hybridMultilevel"/>
    <w:lvl w:ilvl="0" w15:tentative="1">
      <w:start w:val="1"/>
      <w:numFmt w:val="decimal"/>
      <w:lvlText w:val="%1."/>
      <w:lvlJc w:val="left"/>
      <w:pPr>
        <w:ind w:left="620" w:hanging="320"/>
      </w:pPr>
    </w:lvl>
  </w:abstractNum>
  <w:abstractNum w:abstractNumId="79" w15:restartNumberingAfterBreak="0">
    <w:multiLevelType w:val="hybridMultilevel"/>
    <w:lvl w:ilvl="0" w15:tentative="1">
      <w:start w:val="1"/>
      <w:numFmt w:val="decimal"/>
      <w:lvlText w:val="%1."/>
      <w:lvlJc w:val="left"/>
      <w:pPr>
        <w:ind w:left="620" w:hanging="320"/>
      </w:pPr>
    </w:lvl>
  </w:abstractNum>
  <w:abstractNum w:abstractNumId="80" w15:restartNumberingAfterBreak="0">
    <w:multiLevelType w:val="hybridMultilevel"/>
    <w:lvl w:ilvl="0" w15:tentative="1">
      <w:start w:val="1"/>
      <w:numFmt w:val="decimal"/>
      <w:lvlText w:val="%1."/>
      <w:lvlJc w:val="left"/>
      <w:pPr>
        <w:ind w:left="620" w:hanging="320"/>
      </w:pPr>
    </w:lvl>
  </w:abstractNum>
  <w:abstractNum w:abstractNumId="81" w15:restartNumberingAfterBreak="0">
    <w:multiLevelType w:val="hybridMultilevel"/>
    <w:lvl w:ilvl="0" w15:tentative="1">
      <w:start w:val="1"/>
      <w:numFmt w:val="decimal"/>
      <w:lvlText w:val="%1."/>
      <w:lvlJc w:val="left"/>
      <w:pPr>
        <w:ind w:left="620" w:hanging="320"/>
      </w:pPr>
    </w:lvl>
  </w:abstractNum>
  <w:abstractNum w:abstractNumId="82" w15:restartNumberingAfterBreak="0">
    <w:multiLevelType w:val="hybridMultilevel"/>
    <w:lvl w:ilvl="0" w15:tentative="1">
      <w:start w:val="1"/>
      <w:numFmt w:val="decimal"/>
      <w:lvlText w:val="%1."/>
      <w:lvlJc w:val="left"/>
      <w:pPr>
        <w:ind w:left="620" w:hanging="320"/>
      </w:pPr>
    </w:lvl>
  </w:abstractNum>
  <w:abstractNum w:abstractNumId="83" w15:restartNumberingAfterBreak="0">
    <w:multiLevelType w:val="hybridMultilevel"/>
    <w:lvl w:ilvl="0" w15:tentative="1">
      <w:start w:val="1"/>
      <w:numFmt w:val="decimal"/>
      <w:lvlText w:val="%1."/>
      <w:lvlJc w:val="left"/>
      <w:pPr>
        <w:ind w:left="620" w:hanging="320"/>
      </w:pPr>
    </w:lvl>
  </w:abstractNum>
  <w:abstractNum w:abstractNumId="84" w15:restartNumberingAfterBreak="0">
    <w:multiLevelType w:val="hybridMultilevel"/>
    <w:lvl w:ilvl="0" w15:tentative="1">
      <w:start w:val="1"/>
      <w:numFmt w:val="decimal"/>
      <w:lvlText w:val="%1."/>
      <w:lvlJc w:val="left"/>
      <w:pPr>
        <w:ind w:left="620" w:hanging="320"/>
      </w:pPr>
    </w:lvl>
  </w:abstractNum>
  <w:abstractNum w:abstractNumId="85" w15:restartNumberingAfterBreak="0">
    <w:multiLevelType w:val="hybridMultilevel"/>
    <w:lvl w:ilvl="0" w15:tentative="1">
      <w:start w:val="1"/>
      <w:numFmt w:val="decimal"/>
      <w:lvlText w:val="%1."/>
      <w:lvlJc w:val="left"/>
      <w:pPr>
        <w:ind w:left="620" w:hanging="320"/>
      </w:pPr>
    </w:lvl>
  </w:abstractNum>
  <w:abstractNum w:abstractNumId="86" w15:restartNumberingAfterBreak="0">
    <w:multiLevelType w:val="hybridMultilevel"/>
    <w:lvl w:ilvl="0" w15:tentative="1">
      <w:start w:val="1"/>
      <w:numFmt w:val="decimal"/>
      <w:lvlText w:val="%1."/>
      <w:lvlJc w:val="left"/>
      <w:pPr>
        <w:ind w:left="620" w:hanging="320"/>
      </w:pPr>
    </w:lvl>
  </w:abstractNum>
  <w:abstractNum w:abstractNumId="87" w15:restartNumberingAfterBreak="0">
    <w:multiLevelType w:val="hybridMultilevel"/>
    <w:lvl w:ilvl="0" w15:tentative="1">
      <w:start w:val="1"/>
      <w:numFmt w:val="decimal"/>
      <w:lvlText w:val="%1."/>
      <w:lvlJc w:val="left"/>
      <w:pPr>
        <w:ind w:left="620" w:hanging="320"/>
      </w:pPr>
    </w:lvl>
  </w:abstractNum>
  <w:abstractNum w:abstractNumId="88" w15:restartNumberingAfterBreak="0">
    <w:multiLevelType w:val="hybridMultilevel"/>
    <w:lvl w:ilvl="0" w15:tentative="1">
      <w:start w:val="1"/>
      <w:numFmt w:val="decimal"/>
      <w:lvlText w:val="%1."/>
      <w:lvlJc w:val="left"/>
      <w:pPr>
        <w:ind w:left="620" w:hanging="320"/>
      </w:pPr>
    </w:lvl>
  </w:abstractNum>
  <w:abstractNum w:abstractNumId="89" w15:restartNumberingAfterBreak="0">
    <w:multiLevelType w:val="hybridMultilevel"/>
    <w:lvl w:ilvl="0" w15:tentative="1">
      <w:start w:val="1"/>
      <w:numFmt w:val="decimal"/>
      <w:lvlText w:val="%1."/>
      <w:lvlJc w:val="left"/>
      <w:pPr>
        <w:ind w:left="620" w:hanging="320"/>
      </w:pPr>
    </w:lvl>
  </w:abstractNum>
  <w:abstractNum w:abstractNumId="90" w15:restartNumberingAfterBreak="0">
    <w:multiLevelType w:val="hybridMultilevel"/>
    <w:lvl w:ilvl="0" w15:tentative="1">
      <w:start w:val="1"/>
      <w:numFmt w:val="decimal"/>
      <w:lvlText w:val="%1."/>
      <w:lvlJc w:val="left"/>
      <w:pPr>
        <w:ind w:left="620" w:hanging="320"/>
      </w:pPr>
    </w:lvl>
  </w:abstractNum>
  <w:abstractNum w:abstractNumId="91" w15:restartNumberingAfterBreak="0">
    <w:multiLevelType w:val="hybridMultilevel"/>
    <w:lvl w:ilvl="0" w15:tentative="1">
      <w:start w:val="1"/>
      <w:numFmt w:val="decimal"/>
      <w:lvlText w:val="%1."/>
      <w:lvlJc w:val="left"/>
      <w:pPr>
        <w:ind w:left="620" w:hanging="320"/>
      </w:pPr>
    </w:lvl>
  </w:abstractNum>
  <w:abstractNum w:abstractNumId="92" w15:restartNumberingAfterBreak="0">
    <w:multiLevelType w:val="hybridMultilevel"/>
    <w:lvl w:ilvl="0" w15:tentative="1">
      <w:start w:val="1"/>
      <w:numFmt w:val="decimal"/>
      <w:lvlText w:val="%1."/>
      <w:lvlJc w:val="left"/>
      <w:pPr>
        <w:ind w:left="620" w:hanging="320"/>
      </w:pPr>
    </w:lvl>
  </w:abstractNum>
  <w:abstractNum w:abstractNumId="93" w15:restartNumberingAfterBreak="0">
    <w:multiLevelType w:val="hybridMultilevel"/>
    <w:lvl w:ilvl="0" w15:tentative="1">
      <w:start w:val="1"/>
      <w:numFmt w:val="decimal"/>
      <w:lvlText w:val="%1."/>
      <w:lvlJc w:val="left"/>
      <w:pPr>
        <w:ind w:left="620" w:hanging="320"/>
      </w:pPr>
    </w:lvl>
  </w:abstractNum>
  <w:abstractNum w:abstractNumId="94" w15:restartNumberingAfterBreak="0">
    <w:multiLevelType w:val="hybridMultilevel"/>
    <w:lvl w:ilvl="0" w15:tentative="1">
      <w:start w:val="1"/>
      <w:numFmt w:val="decimal"/>
      <w:lvlText w:val="%1."/>
      <w:lvlJc w:val="left"/>
      <w:pPr>
        <w:ind w:left="620" w:hanging="320"/>
      </w:pPr>
    </w:lvl>
  </w:abstractNum>
  <w:abstractNum w:abstractNumId="95" w15:restartNumberingAfterBreak="0">
    <w:multiLevelType w:val="hybridMultilevel"/>
    <w:lvl w:ilvl="0" w15:tentative="1">
      <w:start w:val="1"/>
      <w:numFmt w:val="decimal"/>
      <w:lvlText w:val="%1."/>
      <w:lvlJc w:val="left"/>
      <w:pPr>
        <w:ind w:left="620" w:hanging="320"/>
      </w:pPr>
    </w:lvl>
  </w:abstractNum>
  <w:abstractNum w:abstractNumId="96" w15:restartNumberingAfterBreak="0">
    <w:multiLevelType w:val="hybridMultilevel"/>
    <w:lvl w:ilvl="0" w15:tentative="1">
      <w:start w:val="1"/>
      <w:numFmt w:val="decimal"/>
      <w:lvlText w:val="%1."/>
      <w:lvlJc w:val="left"/>
      <w:pPr>
        <w:ind w:left="620" w:hanging="320"/>
      </w:pPr>
    </w:lvl>
  </w:abstractNum>
  <w:abstractNum w:abstractNumId="97" w15:restartNumberingAfterBreak="0">
    <w:multiLevelType w:val="hybridMultilevel"/>
    <w:lvl w:ilvl="0" w15:tentative="1">
      <w:start w:val="1"/>
      <w:numFmt w:val="decimal"/>
      <w:lvlText w:val="%1."/>
      <w:lvlJc w:val="left"/>
      <w:pPr>
        <w:ind w:left="620" w:hanging="320"/>
      </w:pPr>
    </w:lvl>
  </w:abstractNum>
  <w:abstractNum w:abstractNumId="98" w15:restartNumberingAfterBreak="0">
    <w:multiLevelType w:val="hybridMultilevel"/>
    <w:lvl w:ilvl="0" w15:tentative="1">
      <w:start w:val="1"/>
      <w:numFmt w:val="decimal"/>
      <w:lvlText w:val="%1."/>
      <w:lvlJc w:val="left"/>
      <w:pPr>
        <w:ind w:left="620" w:hanging="320"/>
      </w:pPr>
    </w:lvl>
  </w:abstractNum>
  <w:abstractNum w:abstractNumId="99" w15:restartNumberingAfterBreak="0">
    <w:multiLevelType w:val="hybridMultilevel"/>
    <w:lvl w:ilvl="0" w15:tentative="1">
      <w:start w:val="1"/>
      <w:numFmt w:val="decimal"/>
      <w:lvlText w:val="%1."/>
      <w:lvlJc w:val="left"/>
      <w:pPr>
        <w:ind w:left="620" w:hanging="320"/>
      </w:pPr>
    </w:lvl>
  </w:abstractNum>
  <w:abstractNum w:abstractNumId="100" w15:restartNumberingAfterBreak="0">
    <w:multiLevelType w:val="hybridMultilevel"/>
    <w:lvl w:ilvl="0" w15:tentative="1">
      <w:start w:val="1"/>
      <w:numFmt w:val="decimal"/>
      <w:lvlText w:val="%1."/>
      <w:lvlJc w:val="left"/>
      <w:pPr>
        <w:ind w:left="620" w:hanging="320"/>
      </w:pPr>
    </w:lvl>
  </w:abstractNum>
  <w:abstractNum w:abstractNumId="101" w15:restartNumberingAfterBreak="0">
    <w:multiLevelType w:val="hybridMultilevel"/>
    <w:lvl w:ilvl="0" w15:tentative="1">
      <w:start w:val="1"/>
      <w:numFmt w:val="decimal"/>
      <w:lvlText w:val="%1."/>
      <w:lvlJc w:val="left"/>
      <w:pPr>
        <w:ind w:left="620" w:hanging="320"/>
      </w:pPr>
    </w:lvl>
  </w:abstractNum>
  <w:abstractNum w:abstractNumId="102" w15:restartNumberingAfterBreak="0">
    <w:multiLevelType w:val="hybridMultilevel"/>
    <w:lvl w:ilvl="0" w15:tentative="1">
      <w:start w:val="1"/>
      <w:numFmt w:val="decimal"/>
      <w:lvlText w:val="%1."/>
      <w:lvlJc w:val="left"/>
      <w:pPr>
        <w:ind w:left="620" w:hanging="320"/>
      </w:pPr>
    </w:lvl>
  </w:abstractNum>
  <w:abstractNum w:abstractNumId="103" w15:restartNumberingAfterBreak="0">
    <w:multiLevelType w:val="hybridMultilevel"/>
    <w:lvl w:ilvl="0" w15:tentative="1">
      <w:start w:val="1"/>
      <w:numFmt w:val="decimal"/>
      <w:lvlText w:val="%1."/>
      <w:lvlJc w:val="left"/>
      <w:pPr>
        <w:ind w:left="620" w:hanging="320"/>
      </w:pPr>
    </w:lvl>
  </w:abstractNum>
  <w:abstractNum w:abstractNumId="104" w15:restartNumberingAfterBreak="0">
    <w:multiLevelType w:val="hybridMultilevel"/>
    <w:lvl w:ilvl="0" w15:tentative="1">
      <w:start w:val="1"/>
      <w:numFmt w:val="decimal"/>
      <w:lvlText w:val="%1."/>
      <w:lvlJc w:val="left"/>
      <w:pPr>
        <w:ind w:left="620" w:hanging="320"/>
      </w:pPr>
    </w:lvl>
  </w:abstractNum>
  <w:abstractNum w:abstractNumId="105" w15:restartNumberingAfterBreak="0">
    <w:multiLevelType w:val="hybridMultilevel"/>
    <w:lvl w:ilvl="0" w15:tentative="1">
      <w:start w:val="1"/>
      <w:numFmt w:val="decimal"/>
      <w:lvlText w:val="%1."/>
      <w:lvlJc w:val="left"/>
      <w:pPr>
        <w:ind w:left="620" w:hanging="320"/>
      </w:pPr>
    </w:lvl>
  </w:abstractNum>
  <w:abstractNum w:abstractNumId="106" w15:restartNumberingAfterBreak="0">
    <w:multiLevelType w:val="hybridMultilevel"/>
    <w:lvl w:ilvl="0" w15:tentative="1">
      <w:start w:val="1"/>
      <w:numFmt w:val="decimal"/>
      <w:lvlText w:val="%1."/>
      <w:lvlJc w:val="left"/>
      <w:pPr>
        <w:ind w:left="620" w:hanging="320"/>
      </w:pPr>
    </w:lvl>
  </w:abstractNum>
  <w:abstractNum w:abstractNumId="107" w15:restartNumberingAfterBreak="0">
    <w:multiLevelType w:val="hybridMultilevel"/>
    <w:lvl w:ilvl="0" w15:tentative="1">
      <w:start w:val="1"/>
      <w:numFmt w:val="decimal"/>
      <w:lvlText w:val="%1."/>
      <w:lvlJc w:val="left"/>
      <w:pPr>
        <w:ind w:left="620" w:hanging="320"/>
      </w:pPr>
    </w:lvl>
  </w:abstractNum>
  <w:abstractNum w:abstractNumId="108" w15:restartNumberingAfterBreak="0">
    <w:multiLevelType w:val="hybridMultilevel"/>
    <w:lvl w:ilvl="0" w15:tentative="1">
      <w:start w:val="1"/>
      <w:numFmt w:val="decimal"/>
      <w:lvlText w:val="%1."/>
      <w:lvlJc w:val="left"/>
      <w:pPr>
        <w:ind w:left="620" w:hanging="320"/>
      </w:pPr>
    </w:lvl>
  </w:abstractNum>
  <w:abstractNum w:abstractNumId="109" w15:restartNumberingAfterBreak="0">
    <w:multiLevelType w:val="hybridMultilevel"/>
    <w:lvl w:ilvl="0" w15:tentative="1">
      <w:start w:val="1"/>
      <w:numFmt w:val="decimal"/>
      <w:lvlText w:val="%1."/>
      <w:lvlJc w:val="left"/>
      <w:pPr>
        <w:ind w:left="620" w:hanging="320"/>
      </w:pPr>
    </w:lvl>
  </w:abstractNum>
  <w:abstractNum w:abstractNumId="110" w15:restartNumberingAfterBreak="0">
    <w:multiLevelType w:val="hybridMultilevel"/>
    <w:lvl w:ilvl="0" w15:tentative="1">
      <w:start w:val="1"/>
      <w:numFmt w:val="decimal"/>
      <w:lvlText w:val="%1."/>
      <w:lvlJc w:val="left"/>
      <w:pPr>
        <w:ind w:left="620" w:hanging="320"/>
      </w:pPr>
    </w:lvl>
  </w:abstractNum>
  <w:abstractNum w:abstractNumId="111" w15:restartNumberingAfterBreak="0">
    <w:multiLevelType w:val="hybridMultilevel"/>
    <w:lvl w:ilvl="0" w15:tentative="1">
      <w:start w:val="1"/>
      <w:numFmt w:val="decimal"/>
      <w:lvlText w:val="%1."/>
      <w:lvlJc w:val="left"/>
      <w:pPr>
        <w:ind w:left="620" w:hanging="320"/>
      </w:pPr>
    </w:lvl>
  </w:abstractNum>
  <w:abstractNum w:abstractNumId="112" w15:restartNumberingAfterBreak="0">
    <w:multiLevelType w:val="hybridMultilevel"/>
    <w:lvl w:ilvl="0" w15:tentative="1">
      <w:start w:val="1"/>
      <w:numFmt w:val="decimal"/>
      <w:lvlText w:val="%1."/>
      <w:lvlJc w:val="left"/>
      <w:pPr>
        <w:ind w:left="620" w:hanging="320"/>
      </w:pPr>
    </w:lvl>
  </w:abstractNum>
  <w:abstractNum w:abstractNumId="113" w15:restartNumberingAfterBreak="0">
    <w:multiLevelType w:val="hybridMultilevel"/>
    <w:lvl w:ilvl="0" w15:tentative="1">
      <w:start w:val="1"/>
      <w:numFmt w:val="decimal"/>
      <w:lvlText w:val="%1."/>
      <w:lvlJc w:val="left"/>
      <w:pPr>
        <w:ind w:left="620" w:hanging="320"/>
      </w:pPr>
    </w:lvl>
  </w:abstractNum>
  <w:abstractNum w:abstractNumId="114" w15:restartNumberingAfterBreak="0">
    <w:multiLevelType w:val="hybridMultilevel"/>
    <w:lvl w:ilvl="0" w15:tentative="1">
      <w:start w:val="1"/>
      <w:numFmt w:val="decimal"/>
      <w:lvlText w:val="%1."/>
      <w:lvlJc w:val="left"/>
      <w:pPr>
        <w:ind w:left="620" w:hanging="320"/>
      </w:pPr>
    </w:lvl>
  </w:abstractNum>
  <w:abstractNum w:abstractNumId="115" w15:restartNumberingAfterBreak="0">
    <w:multiLevelType w:val="hybridMultilevel"/>
    <w:lvl w:ilvl="0" w15:tentative="1">
      <w:start w:val="1"/>
      <w:numFmt w:val="decimal"/>
      <w:lvlText w:val="%1."/>
      <w:lvlJc w:val="left"/>
      <w:pPr>
        <w:ind w:left="620" w:hanging="320"/>
      </w:pPr>
    </w:lvl>
  </w:abstractNum>
  <w:abstractNum w:abstractNumId="116" w15:restartNumberingAfterBreak="0">
    <w:multiLevelType w:val="hybridMultilevel"/>
    <w:lvl w:ilvl="0" w15:tentative="1">
      <w:start w:val="1"/>
      <w:numFmt w:val="decimal"/>
      <w:lvlText w:val="%1."/>
      <w:lvlJc w:val="left"/>
      <w:pPr>
        <w:ind w:left="620" w:hanging="320"/>
      </w:pPr>
    </w:lvl>
  </w:abstractNum>
  <w:abstractNum w:abstractNumId="117" w15:restartNumberingAfterBreak="0">
    <w:multiLevelType w:val="hybridMultilevel"/>
    <w:lvl w:ilvl="0" w15:tentative="1">
      <w:start w:val="1"/>
      <w:numFmt w:val="decimal"/>
      <w:lvlText w:val="%1."/>
      <w:lvlJc w:val="left"/>
      <w:pPr>
        <w:ind w:left="620" w:hanging="320"/>
      </w:pPr>
    </w:lvl>
  </w:abstractNum>
  <w:abstractNum w:abstractNumId="118" w15:restartNumberingAfterBreak="0">
    <w:multiLevelType w:val="hybridMultilevel"/>
    <w:lvl w:ilvl="0" w15:tentative="1">
      <w:start w:val="1"/>
      <w:numFmt w:val="decimal"/>
      <w:lvlText w:val="%1."/>
      <w:lvlJc w:val="left"/>
      <w:pPr>
        <w:ind w:left="620" w:hanging="320"/>
      </w:pPr>
    </w:lvl>
  </w:abstractNum>
  <w:abstractNum w:abstractNumId="119" w15:restartNumberingAfterBreak="0">
    <w:multiLevelType w:val="hybridMultilevel"/>
    <w:lvl w:ilvl="0" w15:tentative="1">
      <w:start w:val="1"/>
      <w:numFmt w:val="decimal"/>
      <w:lvlText w:val="%1."/>
      <w:lvlJc w:val="left"/>
      <w:pPr>
        <w:ind w:left="620" w:hanging="320"/>
      </w:pPr>
    </w:lvl>
  </w:abstractNum>
  <w:abstractNum w:abstractNumId="120" w15:restartNumberingAfterBreak="0">
    <w:multiLevelType w:val="hybridMultilevel"/>
    <w:lvl w:ilvl="0" w15:tentative="1">
      <w:start w:val="1"/>
      <w:numFmt w:val="decimal"/>
      <w:lvlText w:val="%1."/>
      <w:lvlJc w:val="left"/>
      <w:pPr>
        <w:ind w:left="620" w:hanging="320"/>
      </w:pPr>
    </w:lvl>
  </w:abstractNum>
  <w:abstractNum w:abstractNumId="121" w15:restartNumberingAfterBreak="0">
    <w:multiLevelType w:val="hybridMultilevel"/>
    <w:lvl w:ilvl="0" w15:tentative="1">
      <w:start w:val="1"/>
      <w:numFmt w:val="decimal"/>
      <w:lvlText w:val="%1."/>
      <w:lvlJc w:val="left"/>
      <w:pPr>
        <w:ind w:left="620" w:hanging="320"/>
      </w:pPr>
    </w:lvl>
  </w:abstractNum>
  <w:abstractNum w:abstractNumId="122"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b/>
      <w:bCs/>
      <w:color w:val="023E71"/>
      <w:sz w:val="30"/>
      <w:szCs w:val="30"/>
    </w:rPr>
  </w:style>
  <w:style w:type="paragraph" w:styleId="Heading2">
    <w:name w:val="Heading 2"/>
    <w:basedOn w:val="Normal"/>
    <w:next w:val="Normal"/>
    <w:qFormat/>
    <w:pPr>
      <w:spacing w:after="100" w:before="240"/>
    </w:pPr>
    <w:rPr>
      <w:b/>
      <w:bCs/>
      <w:color w:val="4E9448"/>
      <w:sz w:val="25"/>
      <w:szCs w:val="25"/>
    </w:rPr>
  </w:style>
  <w:style w:type="paragraph" w:styleId="Heading3">
    <w:name w:val="Heading 3"/>
    <w:basedOn w:val="Normal"/>
    <w:next w:val="Normal"/>
    <w:qFormat/>
    <w:pPr>
      <w:spacing w:after="60" w:before="160"/>
    </w:pPr>
    <w:rPr>
      <w:b/>
      <w:bCs/>
      <w:color w:val="023E7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666c5791cdc2c941b479a017922946ee5f3853.png"/><Relationship Id="rId8" Type="http://schemas.openxmlformats.org/officeDocument/2006/relationships/image" Target="media/49f567e4a038153d9140054a733ac9d69153550c.png"/><Relationship Id="rId9" Type="http://schemas.openxmlformats.org/officeDocument/2006/relationships/image" Target="media/5b2803188ed13731fc55fd84c9cf26a3ce2be14c.png"/><Relationship Id="rId10" Type="http://schemas.openxmlformats.org/officeDocument/2006/relationships/image" Target="media/05ee0d4929e02ef2da008ad8e9b5df7e01f5a42f.png"/><Relationship Id="rId11" Type="http://schemas.openxmlformats.org/officeDocument/2006/relationships/image" Target="media/b0ef916b3997f245b33dc7fd98e257804ae29f66.png"/><Relationship Id="rId12" Type="http://schemas.openxmlformats.org/officeDocument/2006/relationships/image" Target="media/9fd51cd720130ba60cde0a5f054fb2b89071c299.png"/><Relationship Id="rId13" Type="http://schemas.openxmlformats.org/officeDocument/2006/relationships/image" Target="media/0fb11e46f4aee70a58f20d8e0d7f0181a36429da.png"/><Relationship Id="rId14" Type="http://schemas.openxmlformats.org/officeDocument/2006/relationships/image" Target="media/9930f8f5c0a4936ea3ade3b7d5bba1911c6f33db.png"/><Relationship Id="rId15" Type="http://schemas.openxmlformats.org/officeDocument/2006/relationships/image" Target="media/844c3b6f94849e5b7303914f7d6a54edaf4f1c55.png"/><Relationship Id="rId16" Type="http://schemas.openxmlformats.org/officeDocument/2006/relationships/image" Target="media/19782f1390b1022e0dd16a755ab297a260a17525.png"/><Relationship Id="rId17" Type="http://schemas.openxmlformats.org/officeDocument/2006/relationships/image" Target="media/33cc08f2a3d765e22b5e47d885c3801bfcb87294.png"/><Relationship Id="rId18" Type="http://schemas.openxmlformats.org/officeDocument/2006/relationships/image" Target="media/66dea558a7a74ef1efbba95b186468e922bb0570.png"/><Relationship Id="rId19" Type="http://schemas.openxmlformats.org/officeDocument/2006/relationships/image" Target="media/8a03666be7b3f85b9bb6b7437bff5efed27d8e73.png"/><Relationship Id="rId20" Type="http://schemas.openxmlformats.org/officeDocument/2006/relationships/image" Target="media/5df8943294918f04efd35fb101663ca21d334a5f.png"/><Relationship Id="rId21" Type="http://schemas.openxmlformats.org/officeDocument/2006/relationships/image" Target="media/f3b3b55594bc91808b8b4bc44d76626a45efd77f.png"/><Relationship Id="rId22" Type="http://schemas.openxmlformats.org/officeDocument/2006/relationships/image" Target="media/e77e0fb9186a19b89a39b2a936a5719b33e22413.png"/><Relationship Id="rId23" Type="http://schemas.openxmlformats.org/officeDocument/2006/relationships/image" Target="media/20e762818b2296d0a2a2968680ad8ba760521a61.png"/><Relationship Id="rId24" Type="http://schemas.openxmlformats.org/officeDocument/2006/relationships/image" Target="media/ecc90b7e5ab3450ba7fab7e449ecc02718988ebd.png"/><Relationship Id="rId25" Type="http://schemas.openxmlformats.org/officeDocument/2006/relationships/image" Target="media/bf305115847c9a9c052ff8c7886cb33563c4f439.png"/><Relationship Id="rId26" Type="http://schemas.openxmlformats.org/officeDocument/2006/relationships/image" Target="media/400169897242f15ea86bde42d338ad3d3ea6ddfd.png"/><Relationship Id="rId27" Type="http://schemas.openxmlformats.org/officeDocument/2006/relationships/image" Target="media/cfed71f4db24050e3d2d165e72e0be5c9ff390cd.png"/><Relationship Id="rId28" Type="http://schemas.openxmlformats.org/officeDocument/2006/relationships/image" Target="media/ca92f3cd2c9b9051c1812372ce0899d361dbcd73.png"/><Relationship Id="rId29" Type="http://schemas.openxmlformats.org/officeDocument/2006/relationships/image" Target="media/10bb3fb143d5cd06b6d18c0f98d012579d59db2e.png"/><Relationship Id="rId30" Type="http://schemas.openxmlformats.org/officeDocument/2006/relationships/image" Target="media/32d3075ed706dfd8a5df98f65ab6a3f67adcf5c2.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2026-09-07T11:16:15.238Z</dcterms:created>
  <dcterms:modified xsi:type="dcterms:W3CDTF">2026-09-07T11:16:15.238Z</dcterms:modified>
</cp:coreProperties>
</file>

<file path=docProps/custom.xml><?xml version="1.0" encoding="utf-8"?>
<Properties xmlns="http://schemas.openxmlformats.org/officeDocument/2006/custom-properties" xmlns:vt="http://schemas.openxmlformats.org/officeDocument/2006/docPropsVTypes"/>
</file>