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E9A52"/>
          <w:spacing w:val="20"/>
          <w:sz w:val="18"/>
          <w:szCs w:val="18"/>
        </w:rPr>
        <w:t xml:space="preserve">WHITE &amp; BRIGHT GROUP  ·  ERP</w:t>
      </w:r>
    </w:p>
    <w:p>
      <w:pPr>
        <w:pStyle w:val="Heading1"/>
        <w:spacing w:after="80"/>
      </w:pPr>
      <w:r>
        <w:rPr>
          <w:rFonts w:ascii="Calibri" w:cs="Calibri" w:eastAsia="Calibri" w:hAnsi="Calibri"/>
          <w:b/>
          <w:bCs/>
          <w:color w:val="1F3A5F"/>
          <w:sz w:val="36"/>
          <w:szCs w:val="36"/>
        </w:rPr>
        <w:t xml:space="preserve">Data Retention Policy</w:t>
      </w:r>
    </w:p>
    <w:p>
      <w:pPr>
        <w:spacing w:after="140"/>
      </w:pPr>
      <w:r>
        <w:rPr>
          <w:rFonts w:ascii="Calibri" w:cs="Calibri" w:eastAsia="Calibri" w:hAnsi="Calibri"/>
          <w:color w:val="5B6770"/>
          <w:sz w:val="21"/>
          <w:szCs w:val="21"/>
        </w:rPr>
        <w:t xml:space="preserve">Version 1.0  ·  24 September 2026  ·  Owner: Finance Controller  ·  Review: annually</w:t>
      </w:r>
    </w:p>
    <w:p>
      <w:pPr>
        <w:spacing w:after="140"/>
      </w:pPr>
      <w:r>
        <w:rPr>
          <w:rFonts w:ascii="Calibri" w:cs="Calibri" w:eastAsia="Calibri" w:hAnsi="Calibri"/>
          <w:sz w:val="21"/>
          <w:szCs w:val="21"/>
        </w:rPr>
        <w:t xml:space="preserve">This policy states how long each kind of record in the ERP is kept, what happens at the end of that period, and who may change it. It covers WB Engineering, WB Technical Services and Voice Technical Services.</w:t>
      </w:r>
    </w:p>
    <w:p>
      <w:pPr>
        <w:pStyle w:val="Heading2"/>
        <w:keepNext/>
        <w:pBdr>
          <w:bottom w:val="single" w:color="4E9A52" w:sz="6" w:space="4"/>
        </w:pBdr>
        <w:spacing w:after="100" w:before="320"/>
      </w:pPr>
      <w:r>
        <w:rPr>
          <w:rFonts w:ascii="Calibri" w:cs="Calibri" w:eastAsia="Calibri" w:hAnsi="Calibri"/>
          <w:b/>
          <w:bCs/>
          <w:color w:val="1F3A5F"/>
          <w:sz w:val="26"/>
          <w:szCs w:val="26"/>
        </w:rPr>
        <w:t xml:space="preserve">1. The principle</w:t>
      </w:r>
    </w:p>
    <w:p>
      <w:pPr>
        <w:spacing w:after="140"/>
      </w:pPr>
      <w:r>
        <w:rPr>
          <w:rFonts w:ascii="Calibri" w:cs="Calibri" w:eastAsia="Calibri" w:hAnsi="Calibri"/>
          <w:sz w:val="21"/>
          <w:szCs w:val="21"/>
        </w:rPr>
        <w:t xml:space="preserve">Business records are kept for as long as the system exists. Only logs have a retention period, and even then almost nothing is destroyed — records move to an archive that stays readable.</w:t>
      </w:r>
    </w:p>
    <w:p>
      <w:pPr>
        <w:spacing w:after="140"/>
      </w:pPr>
      <w:r>
        <w:rPr>
          <w:rFonts w:ascii="Calibri" w:cs="Calibri" w:eastAsia="Calibri" w:hAnsi="Calibri"/>
          <w:sz w:val="21"/>
          <w:szCs w:val="21"/>
        </w:rPr>
        <w:t xml:space="preserve">Two reasons decide what may have a retention period at all:</w:t>
      </w:r>
    </w:p>
    <w:p>
      <w:pPr>
        <w:pStyle w:val="ListParagraph"/>
        <w:numPr>
          <w:ilvl w:val="0"/>
          <w:numId w:val="1"/>
        </w:numPr>
        <w:spacing w:after="60"/>
      </w:pPr>
      <w:r>
        <w:rPr>
          <w:rFonts w:ascii="Calibri" w:cs="Calibri" w:eastAsia="Calibri" w:hAnsi="Calibri"/>
          <w:sz w:val="21"/>
          <w:szCs w:val="21"/>
        </w:rPr>
        <w:t xml:space="preserve">Nothing a report reads. A trial balance, job costing, VAT history and an end-of-service calculation all look back over years. Removing those records would make the reports wrong, which costs far more than any screen is slowed by keeping them.</w:t>
      </w:r>
    </w:p>
    <w:p>
      <w:pPr>
        <w:pStyle w:val="ListParagraph"/>
        <w:numPr>
          <w:ilvl w:val="0"/>
          <w:numId w:val="1"/>
        </w:numPr>
        <w:spacing w:after="60"/>
      </w:pPr>
      <w:r>
        <w:rPr>
          <w:rFonts w:ascii="Calibri" w:cs="Calibri" w:eastAsia="Calibri" w:hAnsi="Calibri"/>
          <w:sz w:val="21"/>
          <w:szCs w:val="21"/>
        </w:rPr>
        <w:t xml:space="preserve">Only what grows without being read. Logs — one entry per action, per email, per notification — are the only tables that outgrow the business data, and nothing reports on them.</w:t>
      </w:r>
    </w:p>
    <w:p>
      <w:pPr>
        <w:pStyle w:val="Heading2"/>
        <w:keepNext/>
        <w:pBdr>
          <w:bottom w:val="single" w:color="4E9A52" w:sz="6" w:space="4"/>
        </w:pBdr>
        <w:spacing w:after="100" w:before="320"/>
      </w:pPr>
      <w:r>
        <w:rPr>
          <w:rFonts w:ascii="Calibri" w:cs="Calibri" w:eastAsia="Calibri" w:hAnsi="Calibri"/>
          <w:b/>
          <w:bCs/>
          <w:color w:val="1F3A5F"/>
          <w:sz w:val="26"/>
          <w:szCs w:val="26"/>
        </w:rPr>
        <w:t xml:space="preserve">2. Records kept indefinitely</w:t>
      </w:r>
    </w:p>
    <w:p>
      <w:pPr>
        <w:spacing w:after="140"/>
      </w:pPr>
      <w:r>
        <w:rPr>
          <w:rFonts w:ascii="Calibri" w:cs="Calibri" w:eastAsia="Calibri" w:hAnsi="Calibri"/>
          <w:sz w:val="21"/>
          <w:szCs w:val="21"/>
        </w:rPr>
        <w:t xml:space="preserve">No setting shortens these. They are removed only if the client instructs it in writing.</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3200"/>
        <w:gridCol w:w="6438"/>
      </w:tblGrid>
      <w:tr>
        <w:trPr>
          <w:tblHeader/>
        </w:trPr>
        <w:tc>
          <w:tcPr>
            <w:tcW w:type="dxa" w:w="3200"/>
            <w:shd w:fill="EEF3F1" w:color="auto" w:val="clear"/>
            <w:tcMar>
              <w:top w:type="dxa" w:w="60"/>
              <w:left w:type="dxa" w:w="100"/>
              <w:bottom w:type="dxa" w:w="60"/>
              <w:right w:type="dxa" w:w="100"/>
            </w:tcMar>
          </w:tcPr>
          <w:p>
            <w:r>
              <w:rPr>
                <w:rFonts w:ascii="Calibri" w:cs="Calibri" w:eastAsia="Calibri" w:hAnsi="Calibri"/>
                <w:b/>
                <w:bCs/>
                <w:color w:val="1F3A5F"/>
                <w:sz w:val="19"/>
                <w:szCs w:val="19"/>
              </w:rPr>
              <w:t xml:space="preserve">Record</w:t>
            </w:r>
          </w:p>
        </w:tc>
        <w:tc>
          <w:tcPr>
            <w:tcW w:type="dxa" w:w="6438"/>
            <w:shd w:fill="EEF3F1" w:color="auto" w:val="clear"/>
            <w:tcMar>
              <w:top w:type="dxa" w:w="60"/>
              <w:left w:type="dxa" w:w="100"/>
              <w:bottom w:type="dxa" w:w="60"/>
              <w:right w:type="dxa" w:w="100"/>
            </w:tcMar>
          </w:tcPr>
          <w:p>
            <w:r>
              <w:rPr>
                <w:rFonts w:ascii="Calibri" w:cs="Calibri" w:eastAsia="Calibri" w:hAnsi="Calibri"/>
                <w:b/>
                <w:bCs/>
                <w:color w:val="1F3A5F"/>
                <w:sz w:val="19"/>
                <w:szCs w:val="19"/>
              </w:rPr>
              <w:t xml:space="preserve">Why it is kept</w:t>
            </w:r>
          </w:p>
        </w:tc>
      </w:tr>
      <w:tr>
        <w:trPr>
          <w:cantSplit/>
        </w:trPr>
        <w:tc>
          <w:tcPr>
            <w:tcW w:type="dxa" w:w="3200"/>
            <w:tcMar>
              <w:top w:type="dxa" w:w="60"/>
              <w:left w:type="dxa" w:w="100"/>
              <w:bottom w:type="dxa" w:w="60"/>
              <w:right w:type="dxa" w:w="100"/>
            </w:tcMar>
          </w:tcPr>
          <w:p>
            <w:r>
              <w:rPr>
                <w:rFonts w:ascii="Calibri" w:cs="Calibri" w:eastAsia="Calibri" w:hAnsi="Calibri"/>
                <w:sz w:val="19"/>
                <w:szCs w:val="19"/>
              </w:rPr>
              <w:t xml:space="preserve">Journal entries and the chart of accounts</w:t>
            </w:r>
          </w:p>
        </w:tc>
        <w:tc>
          <w:tcPr>
            <w:tcW w:type="dxa" w:w="6438"/>
            <w:tcMar>
              <w:top w:type="dxa" w:w="60"/>
              <w:left w:type="dxa" w:w="100"/>
              <w:bottom w:type="dxa" w:w="60"/>
              <w:right w:type="dxa" w:w="100"/>
            </w:tcMar>
          </w:tcPr>
          <w:p>
            <w:r>
              <w:rPr>
                <w:rFonts w:ascii="Calibri" w:cs="Calibri" w:eastAsia="Calibri" w:hAnsi="Calibri"/>
                <w:sz w:val="19"/>
                <w:szCs w:val="19"/>
              </w:rPr>
              <w:t xml:space="preserve">Every report of every past year is built from them</w:t>
            </w:r>
          </w:p>
        </w:tc>
      </w:tr>
      <w:tr>
        <w:trPr>
          <w:cantSplit/>
        </w:trPr>
        <w:tc>
          <w:tcPr>
            <w:tcW w:type="dxa" w:w="3200"/>
            <w:tcMar>
              <w:top w:type="dxa" w:w="60"/>
              <w:left w:type="dxa" w:w="100"/>
              <w:bottom w:type="dxa" w:w="60"/>
              <w:right w:type="dxa" w:w="100"/>
            </w:tcMar>
          </w:tcPr>
          <w:p>
            <w:r>
              <w:rPr>
                <w:rFonts w:ascii="Calibri" w:cs="Calibri" w:eastAsia="Calibri" w:hAnsi="Calibri"/>
                <w:sz w:val="19"/>
                <w:szCs w:val="19"/>
              </w:rPr>
              <w:t xml:space="preserve">Invoices, credit and debit notes</w:t>
            </w:r>
          </w:p>
        </w:tc>
        <w:tc>
          <w:tcPr>
            <w:tcW w:type="dxa" w:w="6438"/>
            <w:tcMar>
              <w:top w:type="dxa" w:w="60"/>
              <w:left w:type="dxa" w:w="100"/>
              <w:bottom w:type="dxa" w:w="60"/>
              <w:right w:type="dxa" w:w="100"/>
            </w:tcMar>
          </w:tcPr>
          <w:p>
            <w:r>
              <w:rPr>
                <w:rFonts w:ascii="Calibri" w:cs="Calibri" w:eastAsia="Calibri" w:hAnsi="Calibri"/>
                <w:sz w:val="19"/>
                <w:szCs w:val="19"/>
              </w:rPr>
              <w:t xml:space="preserve">VAT and corporate tax filings, and any dispute with a customer or supplier</w:t>
            </w:r>
          </w:p>
        </w:tc>
      </w:tr>
      <w:tr>
        <w:trPr>
          <w:cantSplit/>
        </w:trPr>
        <w:tc>
          <w:tcPr>
            <w:tcW w:type="dxa" w:w="3200"/>
            <w:tcMar>
              <w:top w:type="dxa" w:w="60"/>
              <w:left w:type="dxa" w:w="100"/>
              <w:bottom w:type="dxa" w:w="60"/>
              <w:right w:type="dxa" w:w="100"/>
            </w:tcMar>
          </w:tcPr>
          <w:p>
            <w:r>
              <w:rPr>
                <w:rFonts w:ascii="Calibri" w:cs="Calibri" w:eastAsia="Calibri" w:hAnsi="Calibri"/>
                <w:sz w:val="19"/>
                <w:szCs w:val="19"/>
              </w:rPr>
              <w:t xml:space="preserve">Customers, suppliers and their balances</w:t>
            </w:r>
          </w:p>
        </w:tc>
        <w:tc>
          <w:tcPr>
            <w:tcW w:type="dxa" w:w="6438"/>
            <w:tcMar>
              <w:top w:type="dxa" w:w="60"/>
              <w:left w:type="dxa" w:w="100"/>
              <w:bottom w:type="dxa" w:w="60"/>
              <w:right w:type="dxa" w:w="100"/>
            </w:tcMar>
          </w:tcPr>
          <w:p>
            <w:r>
              <w:rPr>
                <w:rFonts w:ascii="Calibri" w:cs="Calibri" w:eastAsia="Calibri" w:hAnsi="Calibri"/>
                <w:sz w:val="19"/>
                <w:szCs w:val="19"/>
              </w:rPr>
              <w:t xml:space="preserve">Statements and ageing rely on the full history</w:t>
            </w:r>
          </w:p>
        </w:tc>
      </w:tr>
      <w:tr>
        <w:trPr>
          <w:cantSplit/>
        </w:trPr>
        <w:tc>
          <w:tcPr>
            <w:tcW w:type="dxa" w:w="3200"/>
            <w:tcMar>
              <w:top w:type="dxa" w:w="60"/>
              <w:left w:type="dxa" w:w="100"/>
              <w:bottom w:type="dxa" w:w="60"/>
              <w:right w:type="dxa" w:w="100"/>
            </w:tcMar>
          </w:tcPr>
          <w:p>
            <w:r>
              <w:rPr>
                <w:rFonts w:ascii="Calibri" w:cs="Calibri" w:eastAsia="Calibri" w:hAnsi="Calibri"/>
                <w:sz w:val="19"/>
                <w:szCs w:val="19"/>
              </w:rPr>
              <w:t xml:space="preserve">Payroll runs and payslips</w:t>
            </w:r>
          </w:p>
        </w:tc>
        <w:tc>
          <w:tcPr>
            <w:tcW w:type="dxa" w:w="6438"/>
            <w:tcMar>
              <w:top w:type="dxa" w:w="60"/>
              <w:left w:type="dxa" w:w="100"/>
              <w:bottom w:type="dxa" w:w="60"/>
              <w:right w:type="dxa" w:w="100"/>
            </w:tcMar>
          </w:tcPr>
          <w:p>
            <w:r>
              <w:rPr>
                <w:rFonts w:ascii="Calibri" w:cs="Calibri" w:eastAsia="Calibri" w:hAnsi="Calibri"/>
                <w:sz w:val="19"/>
                <w:szCs w:val="19"/>
              </w:rPr>
              <w:t xml:space="preserve">Wage Protection System evidence, gratuity, and any labour claim</w:t>
            </w:r>
          </w:p>
        </w:tc>
      </w:tr>
      <w:tr>
        <w:trPr>
          <w:cantSplit/>
        </w:trPr>
        <w:tc>
          <w:tcPr>
            <w:tcW w:type="dxa" w:w="3200"/>
            <w:tcMar>
              <w:top w:type="dxa" w:w="60"/>
              <w:left w:type="dxa" w:w="100"/>
              <w:bottom w:type="dxa" w:w="60"/>
              <w:right w:type="dxa" w:w="100"/>
            </w:tcMar>
          </w:tcPr>
          <w:p>
            <w:r>
              <w:rPr>
                <w:rFonts w:ascii="Calibri" w:cs="Calibri" w:eastAsia="Calibri" w:hAnsi="Calibri"/>
                <w:sz w:val="19"/>
                <w:szCs w:val="19"/>
              </w:rPr>
              <w:t xml:space="preserve">Employee records and documents</w:t>
            </w:r>
          </w:p>
        </w:tc>
        <w:tc>
          <w:tcPr>
            <w:tcW w:type="dxa" w:w="6438"/>
            <w:tcMar>
              <w:top w:type="dxa" w:w="60"/>
              <w:left w:type="dxa" w:w="100"/>
              <w:bottom w:type="dxa" w:w="60"/>
              <w:right w:type="dxa" w:w="100"/>
            </w:tcMar>
          </w:tcPr>
          <w:p>
            <w:r>
              <w:rPr>
                <w:rFonts w:ascii="Calibri" w:cs="Calibri" w:eastAsia="Calibri" w:hAnsi="Calibri"/>
                <w:sz w:val="19"/>
                <w:szCs w:val="19"/>
              </w:rPr>
              <w:t xml:space="preserve">End-of-service is calculated over a person's whole service</w:t>
            </w:r>
          </w:p>
        </w:tc>
      </w:tr>
      <w:tr>
        <w:trPr>
          <w:cantSplit/>
        </w:trPr>
        <w:tc>
          <w:tcPr>
            <w:tcW w:type="dxa" w:w="3200"/>
            <w:tcMar>
              <w:top w:type="dxa" w:w="60"/>
              <w:left w:type="dxa" w:w="100"/>
              <w:bottom w:type="dxa" w:w="60"/>
              <w:right w:type="dxa" w:w="100"/>
            </w:tcMar>
          </w:tcPr>
          <w:p>
            <w:r>
              <w:rPr>
                <w:rFonts w:ascii="Calibri" w:cs="Calibri" w:eastAsia="Calibri" w:hAnsi="Calibri"/>
                <w:sz w:val="19"/>
                <w:szCs w:val="19"/>
              </w:rPr>
              <w:t xml:space="preserve">Attendance, overtime and timesheets</w:t>
            </w:r>
          </w:p>
        </w:tc>
        <w:tc>
          <w:tcPr>
            <w:tcW w:type="dxa" w:w="6438"/>
            <w:tcMar>
              <w:top w:type="dxa" w:w="60"/>
              <w:left w:type="dxa" w:w="100"/>
              <w:bottom w:type="dxa" w:w="60"/>
              <w:right w:type="dxa" w:w="100"/>
            </w:tcMar>
          </w:tcPr>
          <w:p>
            <w:r>
              <w:rPr>
                <w:rFonts w:ascii="Calibri" w:cs="Calibri" w:eastAsia="Calibri" w:hAnsi="Calibri"/>
                <w:sz w:val="19"/>
                <w:szCs w:val="19"/>
              </w:rPr>
              <w:t xml:space="preserve">Payroll evidence, job costing and labour-law compliance</w:t>
            </w:r>
          </w:p>
        </w:tc>
      </w:tr>
      <w:tr>
        <w:trPr>
          <w:cantSplit/>
        </w:trPr>
        <w:tc>
          <w:tcPr>
            <w:tcW w:type="dxa" w:w="3200"/>
            <w:tcMar>
              <w:top w:type="dxa" w:w="60"/>
              <w:left w:type="dxa" w:w="100"/>
              <w:bottom w:type="dxa" w:w="60"/>
              <w:right w:type="dxa" w:w="100"/>
            </w:tcMar>
          </w:tcPr>
          <w:p>
            <w:r>
              <w:rPr>
                <w:rFonts w:ascii="Calibri" w:cs="Calibri" w:eastAsia="Calibri" w:hAnsi="Calibri"/>
                <w:sz w:val="19"/>
                <w:szCs w:val="19"/>
              </w:rPr>
              <w:t xml:space="preserve">Stock movements, orders and returns</w:t>
            </w:r>
          </w:p>
        </w:tc>
        <w:tc>
          <w:tcPr>
            <w:tcW w:type="dxa" w:w="6438"/>
            <w:tcMar>
              <w:top w:type="dxa" w:w="60"/>
              <w:left w:type="dxa" w:w="100"/>
              <w:bottom w:type="dxa" w:w="60"/>
              <w:right w:type="dxa" w:w="100"/>
            </w:tcMar>
          </w:tcPr>
          <w:p>
            <w:r>
              <w:rPr>
                <w:rFonts w:ascii="Calibri" w:cs="Calibri" w:eastAsia="Calibri" w:hAnsi="Calibri"/>
                <w:sz w:val="19"/>
                <w:szCs w:val="19"/>
              </w:rPr>
              <w:t xml:space="preserve">Stock valuation and job cost depend on every movement ever posted</w:t>
            </w:r>
          </w:p>
        </w:tc>
      </w:tr>
      <w:tr>
        <w:trPr>
          <w:cantSplit/>
        </w:trPr>
        <w:tc>
          <w:tcPr>
            <w:tcW w:type="dxa" w:w="3200"/>
            <w:tcMar>
              <w:top w:type="dxa" w:w="60"/>
              <w:left w:type="dxa" w:w="100"/>
              <w:bottom w:type="dxa" w:w="60"/>
              <w:right w:type="dxa" w:w="100"/>
            </w:tcMar>
          </w:tcPr>
          <w:p>
            <w:r>
              <w:rPr>
                <w:rFonts w:ascii="Calibri" w:cs="Calibri" w:eastAsia="Calibri" w:hAnsi="Calibri"/>
                <w:sz w:val="19"/>
                <w:szCs w:val="19"/>
              </w:rPr>
              <w:t xml:space="preserve">Quotations, estimates and leads</w:t>
            </w:r>
          </w:p>
        </w:tc>
        <w:tc>
          <w:tcPr>
            <w:tcW w:type="dxa" w:w="6438"/>
            <w:tcMar>
              <w:top w:type="dxa" w:w="60"/>
              <w:left w:type="dxa" w:w="100"/>
              <w:bottom w:type="dxa" w:w="60"/>
              <w:right w:type="dxa" w:w="100"/>
            </w:tcMar>
          </w:tcPr>
          <w:p>
            <w:r>
              <w:rPr>
                <w:rFonts w:ascii="Calibri" w:cs="Calibri" w:eastAsia="Calibri" w:hAnsi="Calibri"/>
                <w:sz w:val="19"/>
                <w:szCs w:val="19"/>
              </w:rPr>
              <w:t xml:space="preserve">The order they became, and the price that was agreed</w:t>
            </w:r>
          </w:p>
        </w:tc>
      </w:tr>
      <w:tr>
        <w:trPr>
          <w:cantSplit/>
        </w:trPr>
        <w:tc>
          <w:tcPr>
            <w:tcW w:type="dxa" w:w="3200"/>
            <w:tcMar>
              <w:top w:type="dxa" w:w="60"/>
              <w:left w:type="dxa" w:w="100"/>
              <w:bottom w:type="dxa" w:w="60"/>
              <w:right w:type="dxa" w:w="100"/>
            </w:tcMar>
          </w:tcPr>
          <w:p>
            <w:r>
              <w:rPr>
                <w:rFonts w:ascii="Calibri" w:cs="Calibri" w:eastAsia="Calibri" w:hAnsi="Calibri"/>
                <w:sz w:val="19"/>
                <w:szCs w:val="19"/>
              </w:rPr>
              <w:t xml:space="preserve">Approvals</w:t>
            </w:r>
          </w:p>
        </w:tc>
        <w:tc>
          <w:tcPr>
            <w:tcW w:type="dxa" w:w="6438"/>
            <w:tcMar>
              <w:top w:type="dxa" w:w="60"/>
              <w:left w:type="dxa" w:w="100"/>
              <w:bottom w:type="dxa" w:w="60"/>
              <w:right w:type="dxa" w:w="100"/>
            </w:tcMar>
          </w:tcPr>
          <w:p>
            <w:r>
              <w:rPr>
                <w:rFonts w:ascii="Calibri" w:cs="Calibri" w:eastAsia="Calibri" w:hAnsi="Calibri"/>
                <w:sz w:val="19"/>
                <w:szCs w:val="19"/>
              </w:rPr>
              <w:t xml:space="preserve">Who authorised what, and when</w:t>
            </w:r>
          </w:p>
        </w:tc>
      </w:tr>
      <w:tr>
        <w:trPr>
          <w:cantSplit/>
        </w:trPr>
        <w:tc>
          <w:tcPr>
            <w:tcW w:type="dxa" w:w="3200"/>
            <w:tcMar>
              <w:top w:type="dxa" w:w="60"/>
              <w:left w:type="dxa" w:w="100"/>
              <w:bottom w:type="dxa" w:w="60"/>
              <w:right w:type="dxa" w:w="100"/>
            </w:tcMar>
          </w:tcPr>
          <w:p>
            <w:r>
              <w:rPr>
                <w:rFonts w:ascii="Calibri" w:cs="Calibri" w:eastAsia="Calibri" w:hAnsi="Calibri"/>
                <w:sz w:val="19"/>
                <w:szCs w:val="19"/>
              </w:rPr>
              <w:t xml:space="preserve">Uploaded documents (passports, visas, certificates)</w:t>
            </w:r>
          </w:p>
        </w:tc>
        <w:tc>
          <w:tcPr>
            <w:tcW w:type="dxa" w:w="6438"/>
            <w:tcMar>
              <w:top w:type="dxa" w:w="60"/>
              <w:left w:type="dxa" w:w="100"/>
              <w:bottom w:type="dxa" w:w="60"/>
              <w:right w:type="dxa" w:w="100"/>
            </w:tcMar>
          </w:tcPr>
          <w:p>
            <w:r>
              <w:rPr>
                <w:rFonts w:ascii="Calibri" w:cs="Calibri" w:eastAsia="Calibri" w:hAnsi="Calibri"/>
                <w:sz w:val="19"/>
                <w:szCs w:val="19"/>
              </w:rPr>
              <w:t xml:space="preserve">The document itself is the record</w:t>
            </w:r>
          </w:p>
        </w:tc>
      </w:tr>
    </w:tbl>
    <w:p>
      <w:pPr>
        <w:spacing w:after="140"/>
      </w:pPr>
      <w:r>
        <w:rPr>
          <w:rFonts w:ascii="Calibri" w:cs="Calibri" w:eastAsia="Calibri" w:hAnsi="Calibri"/>
          <w:i/>
          <w:iCs/>
          <w:sz w:val="21"/>
          <w:szCs w:val="21"/>
        </w:rPr>
        <w:t xml:space="preserve">UAE law expects accounting records to be kept for several years — commonly five under commercial law and seven for corporate tax. Confirm the exact periods with the group's auditor. The system's part is that the records still exist; this policy does not shorten them.</w:t>
      </w:r>
    </w:p>
    <w:p>
      <w:pPr>
        <w:pStyle w:val="Heading2"/>
        <w:keepNext/>
        <w:pBdr>
          <w:bottom w:val="single" w:color="4E9A52" w:sz="6" w:space="4"/>
        </w:pBdr>
        <w:spacing w:after="100" w:before="320"/>
      </w:pPr>
      <w:r>
        <w:rPr>
          <w:rFonts w:ascii="Calibri" w:cs="Calibri" w:eastAsia="Calibri" w:hAnsi="Calibri"/>
          <w:b/>
          <w:bCs/>
          <w:color w:val="1F3A5F"/>
          <w:sz w:val="26"/>
          <w:szCs w:val="26"/>
        </w:rPr>
        <w:t xml:space="preserve">3. Records with a retention period</w:t>
      </w:r>
    </w:p>
    <w:p>
      <w:pPr>
        <w:spacing w:after="140"/>
      </w:pPr>
      <w:r>
        <w:rPr>
          <w:rFonts w:ascii="Calibri" w:cs="Calibri" w:eastAsia="Calibri" w:hAnsi="Calibri"/>
          <w:sz w:val="21"/>
          <w:szCs w:val="21"/>
        </w:rPr>
        <w:t xml:space="preserve">Set at Settings → Data Retention by an administrator. The defaults:</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2300"/>
        <w:gridCol w:w="1500"/>
        <w:gridCol w:w="1400"/>
        <w:gridCol w:w="4438"/>
      </w:tblGrid>
      <w:tr>
        <w:trPr>
          <w:tblHeader/>
        </w:trPr>
        <w:tc>
          <w:tcPr>
            <w:tcW w:type="dxa" w:w="2300"/>
            <w:shd w:fill="EEF3F1" w:color="auto" w:val="clear"/>
            <w:tcMar>
              <w:top w:type="dxa" w:w="60"/>
              <w:left w:type="dxa" w:w="100"/>
              <w:bottom w:type="dxa" w:w="60"/>
              <w:right w:type="dxa" w:w="100"/>
            </w:tcMar>
          </w:tcPr>
          <w:p>
            <w:r>
              <w:rPr>
                <w:rFonts w:ascii="Calibri" w:cs="Calibri" w:eastAsia="Calibri" w:hAnsi="Calibri"/>
                <w:b/>
                <w:bCs/>
                <w:color w:val="1F3A5F"/>
                <w:sz w:val="19"/>
                <w:szCs w:val="19"/>
              </w:rPr>
              <w:t xml:space="preserve">Record</w:t>
            </w:r>
          </w:p>
        </w:tc>
        <w:tc>
          <w:tcPr>
            <w:tcW w:type="dxa" w:w="1500"/>
            <w:shd w:fill="EEF3F1" w:color="auto" w:val="clear"/>
            <w:tcMar>
              <w:top w:type="dxa" w:w="60"/>
              <w:left w:type="dxa" w:w="100"/>
              <w:bottom w:type="dxa" w:w="60"/>
              <w:right w:type="dxa" w:w="100"/>
            </w:tcMar>
          </w:tcPr>
          <w:p>
            <w:r>
              <w:rPr>
                <w:rFonts w:ascii="Calibri" w:cs="Calibri" w:eastAsia="Calibri" w:hAnsi="Calibri"/>
                <w:b/>
                <w:bCs/>
                <w:color w:val="1F3A5F"/>
                <w:sz w:val="19"/>
                <w:szCs w:val="19"/>
              </w:rPr>
              <w:t xml:space="preserve">Kept</w:t>
            </w:r>
          </w:p>
        </w:tc>
        <w:tc>
          <w:tcPr>
            <w:tcW w:type="dxa" w:w="1400"/>
            <w:shd w:fill="EEF3F1" w:color="auto" w:val="clear"/>
            <w:tcMar>
              <w:top w:type="dxa" w:w="60"/>
              <w:left w:type="dxa" w:w="100"/>
              <w:bottom w:type="dxa" w:w="60"/>
              <w:right w:type="dxa" w:w="100"/>
            </w:tcMar>
          </w:tcPr>
          <w:p>
            <w:r>
              <w:rPr>
                <w:rFonts w:ascii="Calibri" w:cs="Calibri" w:eastAsia="Calibri" w:hAnsi="Calibri"/>
                <w:b/>
                <w:bCs/>
                <w:color w:val="1F3A5F"/>
                <w:sz w:val="19"/>
                <w:szCs w:val="19"/>
              </w:rPr>
              <w:t xml:space="preserve">Minimum</w:t>
            </w:r>
          </w:p>
        </w:tc>
        <w:tc>
          <w:tcPr>
            <w:tcW w:type="dxa" w:w="4438"/>
            <w:shd w:fill="EEF3F1" w:color="auto" w:val="clear"/>
            <w:tcMar>
              <w:top w:type="dxa" w:w="60"/>
              <w:left w:type="dxa" w:w="100"/>
              <w:bottom w:type="dxa" w:w="60"/>
              <w:right w:type="dxa" w:w="100"/>
            </w:tcMar>
          </w:tcPr>
          <w:p>
            <w:r>
              <w:rPr>
                <w:rFonts w:ascii="Calibri" w:cs="Calibri" w:eastAsia="Calibri" w:hAnsi="Calibri"/>
                <w:b/>
                <w:bCs/>
                <w:color w:val="1F3A5F"/>
                <w:sz w:val="19"/>
                <w:szCs w:val="19"/>
              </w:rPr>
              <w:t xml:space="preserve">What happens then</w:t>
            </w:r>
          </w:p>
        </w:tc>
      </w:tr>
      <w:tr>
        <w:trPr>
          <w:cantSplit/>
        </w:trPr>
        <w:tc>
          <w:tcPr>
            <w:tcW w:type="dxa" w:w="2300"/>
            <w:tcMar>
              <w:top w:type="dxa" w:w="60"/>
              <w:left w:type="dxa" w:w="100"/>
              <w:bottom w:type="dxa" w:w="60"/>
              <w:right w:type="dxa" w:w="100"/>
            </w:tcMar>
          </w:tcPr>
          <w:p>
            <w:r>
              <w:rPr>
                <w:rFonts w:ascii="Calibri" w:cs="Calibri" w:eastAsia="Calibri" w:hAnsi="Calibri"/>
                <w:sz w:val="19"/>
                <w:szCs w:val="19"/>
              </w:rPr>
              <w:t xml:space="preserve">Audit trail</w:t>
            </w:r>
          </w:p>
        </w:tc>
        <w:tc>
          <w:tcPr>
            <w:tcW w:type="dxa" w:w="1500"/>
            <w:tcMar>
              <w:top w:type="dxa" w:w="60"/>
              <w:left w:type="dxa" w:w="100"/>
              <w:bottom w:type="dxa" w:w="60"/>
              <w:right w:type="dxa" w:w="100"/>
            </w:tcMar>
          </w:tcPr>
          <w:p>
            <w:r>
              <w:rPr>
                <w:rFonts w:ascii="Calibri" w:cs="Calibri" w:eastAsia="Calibri" w:hAnsi="Calibri"/>
                <w:sz w:val="19"/>
                <w:szCs w:val="19"/>
              </w:rPr>
              <w:t xml:space="preserve">1 year</w:t>
            </w:r>
          </w:p>
        </w:tc>
        <w:tc>
          <w:tcPr>
            <w:tcW w:type="dxa" w:w="1400"/>
            <w:tcMar>
              <w:top w:type="dxa" w:w="60"/>
              <w:left w:type="dxa" w:w="100"/>
              <w:bottom w:type="dxa" w:w="60"/>
              <w:right w:type="dxa" w:w="100"/>
            </w:tcMar>
          </w:tcPr>
          <w:p>
            <w:r>
              <w:rPr>
                <w:rFonts w:ascii="Calibri" w:cs="Calibri" w:eastAsia="Calibri" w:hAnsi="Calibri"/>
                <w:sz w:val="19"/>
                <w:szCs w:val="19"/>
              </w:rPr>
              <w:t xml:space="preserve">30 days</w:t>
            </w:r>
          </w:p>
        </w:tc>
        <w:tc>
          <w:tcPr>
            <w:tcW w:type="dxa" w:w="4438"/>
            <w:tcMar>
              <w:top w:type="dxa" w:w="60"/>
              <w:left w:type="dxa" w:w="100"/>
              <w:bottom w:type="dxa" w:w="60"/>
              <w:right w:type="dxa" w:w="100"/>
            </w:tcMar>
          </w:tcPr>
          <w:p>
            <w:r>
              <w:rPr>
                <w:rFonts w:ascii="Calibri" w:cs="Calibri" w:eastAsia="Calibri" w:hAnsi="Calibri"/>
                <w:sz w:val="19"/>
                <w:szCs w:val="19"/>
              </w:rPr>
              <w:t xml:space="preserve">Moved to the audit archive, readable from the Audit Log screen. Nothing is deleted</w:t>
            </w:r>
          </w:p>
        </w:tc>
      </w:tr>
      <w:tr>
        <w:trPr>
          <w:cantSplit/>
        </w:trPr>
        <w:tc>
          <w:tcPr>
            <w:tcW w:type="dxa" w:w="2300"/>
            <w:tcMar>
              <w:top w:type="dxa" w:w="60"/>
              <w:left w:type="dxa" w:w="100"/>
              <w:bottom w:type="dxa" w:w="60"/>
              <w:right w:type="dxa" w:w="100"/>
            </w:tcMar>
          </w:tcPr>
          <w:p>
            <w:r>
              <w:rPr>
                <w:rFonts w:ascii="Calibri" w:cs="Calibri" w:eastAsia="Calibri" w:hAnsi="Calibri"/>
                <w:sz w:val="19"/>
                <w:szCs w:val="19"/>
              </w:rPr>
              <w:t xml:space="preserve">Sent emails</w:t>
            </w:r>
          </w:p>
        </w:tc>
        <w:tc>
          <w:tcPr>
            <w:tcW w:type="dxa" w:w="1500"/>
            <w:tcMar>
              <w:top w:type="dxa" w:w="60"/>
              <w:left w:type="dxa" w:w="100"/>
              <w:bottom w:type="dxa" w:w="60"/>
              <w:right w:type="dxa" w:w="100"/>
            </w:tcMar>
          </w:tcPr>
          <w:p>
            <w:r>
              <w:rPr>
                <w:rFonts w:ascii="Calibri" w:cs="Calibri" w:eastAsia="Calibri" w:hAnsi="Calibri"/>
                <w:sz w:val="19"/>
                <w:szCs w:val="19"/>
              </w:rPr>
              <w:t xml:space="preserve">3 years</w:t>
            </w:r>
          </w:p>
        </w:tc>
        <w:tc>
          <w:tcPr>
            <w:tcW w:type="dxa" w:w="1400"/>
            <w:tcMar>
              <w:top w:type="dxa" w:w="60"/>
              <w:left w:type="dxa" w:w="100"/>
              <w:bottom w:type="dxa" w:w="60"/>
              <w:right w:type="dxa" w:w="100"/>
            </w:tcMar>
          </w:tcPr>
          <w:p>
            <w:r>
              <w:rPr>
                <w:rFonts w:ascii="Calibri" w:cs="Calibri" w:eastAsia="Calibri" w:hAnsi="Calibri"/>
                <w:sz w:val="19"/>
                <w:szCs w:val="19"/>
              </w:rPr>
              <w:t xml:space="preserve">1 year</w:t>
            </w:r>
          </w:p>
        </w:tc>
        <w:tc>
          <w:tcPr>
            <w:tcW w:type="dxa" w:w="4438"/>
            <w:tcMar>
              <w:top w:type="dxa" w:w="60"/>
              <w:left w:type="dxa" w:w="100"/>
              <w:bottom w:type="dxa" w:w="60"/>
              <w:right w:type="dxa" w:w="100"/>
            </w:tcMar>
          </w:tcPr>
          <w:p>
            <w:r>
              <w:rPr>
                <w:rFonts w:ascii="Calibri" w:cs="Calibri" w:eastAsia="Calibri" w:hAnsi="Calibri"/>
                <w:sz w:val="19"/>
                <w:szCs w:val="19"/>
              </w:rPr>
              <w:t xml:space="preserve">Moved to the sent-email archive. It remains the evidence that a quotation or order was sent, and to whom</w:t>
            </w:r>
          </w:p>
        </w:tc>
      </w:tr>
      <w:tr>
        <w:trPr>
          <w:cantSplit/>
        </w:trPr>
        <w:tc>
          <w:tcPr>
            <w:tcW w:type="dxa" w:w="2300"/>
            <w:tcMar>
              <w:top w:type="dxa" w:w="60"/>
              <w:left w:type="dxa" w:w="100"/>
              <w:bottom w:type="dxa" w:w="60"/>
              <w:right w:type="dxa" w:w="100"/>
            </w:tcMar>
          </w:tcPr>
          <w:p>
            <w:r>
              <w:rPr>
                <w:rFonts w:ascii="Calibri" w:cs="Calibri" w:eastAsia="Calibri" w:hAnsi="Calibri"/>
                <w:sz w:val="19"/>
                <w:szCs w:val="19"/>
              </w:rPr>
              <w:t xml:space="preserve">Notifications</w:t>
            </w:r>
          </w:p>
        </w:tc>
        <w:tc>
          <w:tcPr>
            <w:tcW w:type="dxa" w:w="1500"/>
            <w:tcMar>
              <w:top w:type="dxa" w:w="60"/>
              <w:left w:type="dxa" w:w="100"/>
              <w:bottom w:type="dxa" w:w="60"/>
              <w:right w:type="dxa" w:w="100"/>
            </w:tcMar>
          </w:tcPr>
          <w:p>
            <w:r>
              <w:rPr>
                <w:rFonts w:ascii="Calibri" w:cs="Calibri" w:eastAsia="Calibri" w:hAnsi="Calibri"/>
                <w:sz w:val="19"/>
                <w:szCs w:val="19"/>
              </w:rPr>
              <w:t xml:space="preserve">6 months</w:t>
            </w:r>
          </w:p>
        </w:tc>
        <w:tc>
          <w:tcPr>
            <w:tcW w:type="dxa" w:w="1400"/>
            <w:tcMar>
              <w:top w:type="dxa" w:w="60"/>
              <w:left w:type="dxa" w:w="100"/>
              <w:bottom w:type="dxa" w:w="60"/>
              <w:right w:type="dxa" w:w="100"/>
            </w:tcMar>
          </w:tcPr>
          <w:p>
            <w:r>
              <w:rPr>
                <w:rFonts w:ascii="Calibri" w:cs="Calibri" w:eastAsia="Calibri" w:hAnsi="Calibri"/>
                <w:sz w:val="19"/>
                <w:szCs w:val="19"/>
              </w:rPr>
              <w:t xml:space="preserve">30 days</w:t>
            </w:r>
          </w:p>
        </w:tc>
        <w:tc>
          <w:tcPr>
            <w:tcW w:type="dxa" w:w="4438"/>
            <w:tcMar>
              <w:top w:type="dxa" w:w="60"/>
              <w:left w:type="dxa" w:w="100"/>
              <w:bottom w:type="dxa" w:w="60"/>
              <w:right w:type="dxa" w:w="100"/>
            </w:tcMar>
          </w:tcPr>
          <w:p>
            <w:r>
              <w:rPr>
                <w:rFonts w:ascii="Calibri" w:cs="Calibri" w:eastAsia="Calibri" w:hAnsi="Calibri"/>
                <w:sz w:val="19"/>
                <w:szCs w:val="19"/>
              </w:rPr>
              <w:t xml:space="preserve">Removed once read, as each is a copy of something recorded elsewhere. Unread notifications are never removed</w:t>
            </w:r>
          </w:p>
        </w:tc>
      </w:tr>
    </w:tbl>
    <w:p>
      <w:pPr>
        <w:spacing w:after="140"/>
      </w:pPr>
      <w:r>
        <w:rPr>
          <w:rFonts w:ascii="Calibri" w:cs="Calibri" w:eastAsia="Calibri" w:hAnsi="Calibri"/>
          <w:sz w:val="21"/>
          <w:szCs w:val="21"/>
        </w:rPr>
        <w:t xml:space="preserve">The housekeeping runs by itself each time the system is updated. The screen shows how many records are waiting, and an administrator can run it sooner.</w:t>
      </w:r>
    </w:p>
    <w:p>
      <w:pPr>
        <w:pStyle w:val="Heading2"/>
        <w:keepNext/>
        <w:pBdr>
          <w:bottom w:val="single" w:color="4E9A52" w:sz="6" w:space="4"/>
        </w:pBdr>
        <w:spacing w:after="100" w:before="320"/>
      </w:pPr>
      <w:r>
        <w:rPr>
          <w:rFonts w:ascii="Calibri" w:cs="Calibri" w:eastAsia="Calibri" w:hAnsi="Calibri"/>
          <w:b/>
          <w:bCs/>
          <w:color w:val="1F3A5F"/>
          <w:sz w:val="26"/>
          <w:szCs w:val="26"/>
        </w:rPr>
        <w:t xml:space="preserve">4. Who may change this</w:t>
      </w:r>
    </w:p>
    <w:p>
      <w:pPr>
        <w:pStyle w:val="ListParagraph"/>
        <w:numPr>
          <w:ilvl w:val="0"/>
          <w:numId w:val="1"/>
        </w:numPr>
        <w:spacing w:after="60"/>
      </w:pPr>
      <w:r>
        <w:rPr>
          <w:rFonts w:ascii="Calibri" w:cs="Calibri" w:eastAsia="Calibri" w:hAnsi="Calibri"/>
          <w:sz w:val="21"/>
          <w:szCs w:val="21"/>
        </w:rPr>
        <w:t xml:space="preserve">Only an administrator can change a retention period.</w:t>
      </w:r>
    </w:p>
    <w:p>
      <w:pPr>
        <w:pStyle w:val="ListParagraph"/>
        <w:numPr>
          <w:ilvl w:val="0"/>
          <w:numId w:val="1"/>
        </w:numPr>
        <w:spacing w:after="60"/>
      </w:pPr>
      <w:r>
        <w:rPr>
          <w:rFonts w:ascii="Calibri" w:cs="Calibri" w:eastAsia="Calibri" w:hAnsi="Calibri"/>
          <w:sz w:val="21"/>
          <w:szCs w:val="21"/>
        </w:rPr>
        <w:t xml:space="preserve">Every change is written to the audit trail — what it was, what it became, and who did it.</w:t>
      </w:r>
    </w:p>
    <w:p>
      <w:pPr>
        <w:pStyle w:val="ListParagraph"/>
        <w:numPr>
          <w:ilvl w:val="0"/>
          <w:numId w:val="1"/>
        </w:numPr>
        <w:spacing w:after="60"/>
      </w:pPr>
      <w:r>
        <w:rPr>
          <w:rFonts w:ascii="Calibri" w:cs="Calibri" w:eastAsia="Calibri" w:hAnsi="Calibri"/>
          <w:sz w:val="21"/>
          <w:szCs w:val="21"/>
        </w:rPr>
        <w:t xml:space="preserve">No period can be set below its minimum, so nobody can shorten a window to push their own activity out of view.</w:t>
      </w:r>
    </w:p>
    <w:p>
      <w:pPr>
        <w:pStyle w:val="ListParagraph"/>
        <w:numPr>
          <w:ilvl w:val="0"/>
          <w:numId w:val="1"/>
        </w:numPr>
        <w:spacing w:after="60"/>
      </w:pPr>
      <w:r>
        <w:rPr>
          <w:rFonts w:ascii="Calibri" w:cs="Calibri" w:eastAsia="Calibri" w:hAnsi="Calibri"/>
          <w:sz w:val="21"/>
          <w:szCs w:val="21"/>
        </w:rPr>
        <w:t xml:space="preserve">Changing this policy document is the Finance Controller's decision, recorded in the board minutes.</w:t>
      </w:r>
    </w:p>
    <w:p>
      <w:pPr>
        <w:pStyle w:val="Heading2"/>
        <w:keepNext/>
        <w:pBdr>
          <w:bottom w:val="single" w:color="4E9A52" w:sz="6" w:space="4"/>
        </w:pBdr>
        <w:spacing w:after="100" w:before="320"/>
      </w:pPr>
      <w:r>
        <w:rPr>
          <w:rFonts w:ascii="Calibri" w:cs="Calibri" w:eastAsia="Calibri" w:hAnsi="Calibri"/>
          <w:b/>
          <w:bCs/>
          <w:color w:val="1F3A5F"/>
          <w:sz w:val="26"/>
          <w:szCs w:val="26"/>
        </w:rPr>
        <w:t xml:space="preserve">5. Backups, which are not retention</w:t>
      </w:r>
    </w:p>
    <w:p>
      <w:pPr>
        <w:spacing w:after="140"/>
      </w:pPr>
      <w:r>
        <w:rPr>
          <w:rFonts w:ascii="Calibri" w:cs="Calibri" w:eastAsia="Calibri" w:hAnsi="Calibri"/>
          <w:sz w:val="21"/>
          <w:szCs w:val="21"/>
        </w:rPr>
        <w:t xml:space="preserve">Retention is about what the live system holds. Backups are about getting any of it back. The two are separate and both are required:</w:t>
      </w:r>
    </w:p>
    <w:p>
      <w:pPr>
        <w:pStyle w:val="ListParagraph"/>
        <w:numPr>
          <w:ilvl w:val="0"/>
          <w:numId w:val="1"/>
        </w:numPr>
        <w:spacing w:after="60"/>
      </w:pPr>
      <w:r>
        <w:rPr>
          <w:rFonts w:ascii="Calibri" w:cs="Calibri" w:eastAsia="Calibri" w:hAnsi="Calibri"/>
          <w:sz w:val="21"/>
          <w:szCs w:val="21"/>
        </w:rPr>
        <w:t xml:space="preserve">Railway snapshots of the database and the uploaded documents: daily kept 6 days, weekly kept a month, monthly kept 3 months.</w:t>
      </w:r>
    </w:p>
    <w:p>
      <w:pPr>
        <w:pStyle w:val="ListParagraph"/>
        <w:numPr>
          <w:ilvl w:val="0"/>
          <w:numId w:val="1"/>
        </w:numPr>
        <w:spacing w:after="60"/>
      </w:pPr>
      <w:r>
        <w:rPr>
          <w:rFonts w:ascii="Calibri" w:cs="Calibri" w:eastAsia="Calibri" w:hAnsi="Calibri"/>
          <w:sz w:val="21"/>
          <w:szCs w:val="21"/>
        </w:rPr>
        <w:t xml:space="preserve">An encrypted copy held outside the hosting provider, so the records survive the loss of the hosting account.</w:t>
      </w:r>
    </w:p>
    <w:p>
      <w:pPr>
        <w:pStyle w:val="ListParagraph"/>
        <w:numPr>
          <w:ilvl w:val="0"/>
          <w:numId w:val="1"/>
        </w:numPr>
        <w:spacing w:after="60"/>
      </w:pPr>
      <w:r>
        <w:rPr>
          <w:rFonts w:ascii="Calibri" w:cs="Calibri" w:eastAsia="Calibri" w:hAnsi="Calibri"/>
          <w:sz w:val="21"/>
          <w:szCs w:val="21"/>
        </w:rPr>
        <w:t xml:space="preserve">A restore is tested every quarter. An untested backup is an assumption.</w:t>
      </w:r>
    </w:p>
    <w:p>
      <w:pPr>
        <w:spacing w:after="140"/>
      </w:pPr>
      <w:r>
        <w:rPr>
          <w:rFonts w:ascii="Calibri" w:cs="Calibri" w:eastAsia="Calibri" w:hAnsi="Calibri"/>
          <w:sz w:val="21"/>
          <w:szCs w:val="21"/>
        </w:rPr>
        <w:t xml:space="preserve">Backups contain passport numbers, salaries and bank details. They are encrypted, access is limited to the Finance Controller and the administrator, and copies no longer needed are destroyed.</w:t>
      </w:r>
    </w:p>
    <w:p>
      <w:pPr>
        <w:pStyle w:val="Heading2"/>
        <w:keepNext/>
        <w:pBdr>
          <w:bottom w:val="single" w:color="4E9A52" w:sz="6" w:space="4"/>
        </w:pBdr>
        <w:spacing w:after="100" w:before="320"/>
      </w:pPr>
      <w:r>
        <w:rPr>
          <w:rFonts w:ascii="Calibri" w:cs="Calibri" w:eastAsia="Calibri" w:hAnsi="Calibri"/>
          <w:b/>
          <w:bCs/>
          <w:color w:val="1F3A5F"/>
          <w:sz w:val="26"/>
          <w:szCs w:val="26"/>
        </w:rPr>
        <w:t xml:space="preserve">6. Personal data</w:t>
      </w:r>
    </w:p>
    <w:p>
      <w:pPr>
        <w:spacing w:after="140"/>
      </w:pPr>
      <w:r>
        <w:rPr>
          <w:rFonts w:ascii="Calibri" w:cs="Calibri" w:eastAsia="Calibri" w:hAnsi="Calibri"/>
          <w:sz w:val="21"/>
          <w:szCs w:val="21"/>
        </w:rPr>
        <w:t xml:space="preserve">Employee records hold personal data: passports, Emirates IDs, salaries, bank details and medical notes. Three rules apply alongside this policy:</w:t>
      </w:r>
    </w:p>
    <w:p>
      <w:pPr>
        <w:pStyle w:val="ListParagraph"/>
        <w:numPr>
          <w:ilvl w:val="0"/>
          <w:numId w:val="1"/>
        </w:numPr>
        <w:spacing w:after="60"/>
      </w:pPr>
      <w:r>
        <w:rPr>
          <w:rFonts w:ascii="Calibri" w:cs="Calibri" w:eastAsia="Calibri" w:hAnsi="Calibri"/>
          <w:sz w:val="21"/>
          <w:szCs w:val="21"/>
        </w:rPr>
        <w:t xml:space="preserve">Access follows the role. Salary and payroll are limited to HR, the Finance Controller and directors; site roles see attendance and job assignments only.</w:t>
      </w:r>
    </w:p>
    <w:p>
      <w:pPr>
        <w:pStyle w:val="ListParagraph"/>
        <w:numPr>
          <w:ilvl w:val="0"/>
          <w:numId w:val="1"/>
        </w:numPr>
        <w:spacing w:after="60"/>
      </w:pPr>
      <w:r>
        <w:rPr>
          <w:rFonts w:ascii="Calibri" w:cs="Calibri" w:eastAsia="Calibri" w:hAnsi="Calibri"/>
          <w:sz w:val="21"/>
          <w:szCs w:val="21"/>
        </w:rPr>
        <w:t xml:space="preserve">Every view and change of an employee record is in the audit trail.</w:t>
      </w:r>
    </w:p>
    <w:p>
      <w:pPr>
        <w:pStyle w:val="ListParagraph"/>
        <w:numPr>
          <w:ilvl w:val="0"/>
          <w:numId w:val="1"/>
        </w:numPr>
        <w:spacing w:after="60"/>
      </w:pPr>
      <w:r>
        <w:rPr>
          <w:rFonts w:ascii="Calibri" w:cs="Calibri" w:eastAsia="Calibri" w:hAnsi="Calibri"/>
          <w:sz w:val="21"/>
          <w:szCs w:val="21"/>
        </w:rPr>
        <w:t xml:space="preserve">When an employee leaves, their records are kept — the labour and tax authorities may ask about them years later — but their login is deactivated immediately.</w:t>
      </w:r>
    </w:p>
    <w:p>
      <w:pPr>
        <w:pStyle w:val="Heading2"/>
        <w:keepNext/>
        <w:pBdr>
          <w:bottom w:val="single" w:color="4E9A52" w:sz="6" w:space="4"/>
        </w:pBdr>
        <w:spacing w:after="100" w:before="320"/>
      </w:pPr>
      <w:r>
        <w:rPr>
          <w:rFonts w:ascii="Calibri" w:cs="Calibri" w:eastAsia="Calibri" w:hAnsi="Calibri"/>
          <w:b/>
          <w:bCs/>
          <w:color w:val="1F3A5F"/>
          <w:sz w:val="26"/>
          <w:szCs w:val="26"/>
        </w:rPr>
        <w:t xml:space="preserve">7. Review</w:t>
      </w:r>
    </w:p>
    <w:p>
      <w:pPr>
        <w:spacing w:after="140"/>
      </w:pPr>
      <w:r>
        <w:rPr>
          <w:rFonts w:ascii="Calibri" w:cs="Calibri" w:eastAsia="Calibri" w:hAnsi="Calibri"/>
          <w:sz w:val="21"/>
          <w:szCs w:val="21"/>
        </w:rPr>
        <w:t xml:space="preserve">This policy is reviewed once a year by the Finance Controller, and whenever the law changes or a new module is added. The date and outcome of each review is recorded below.</w:t>
      </w:r>
    </w:p>
    <w:tbl>
      <w:tblPr>
        <w:tblW w:type="dxa" w:w="9638"/>
        <w:tblBorders>
          <w:top w:val="single" w:color="C9D1D6" w:sz="4"/>
          <w:left w:val="single" w:color="C9D1D6" w:sz="4"/>
          <w:bottom w:val="single" w:color="C9D1D6" w:sz="4"/>
          <w:right w:val="single" w:color="C9D1D6" w:sz="4"/>
          <w:insideH w:val="single" w:color="C9D1D6" w:sz="4"/>
          <w:insideV w:val="single" w:color="C9D1D6" w:sz="4"/>
        </w:tblBorders>
      </w:tblPr>
      <w:tblGrid>
        <w:gridCol w:w="2200"/>
        <w:gridCol w:w="2500"/>
        <w:gridCol w:w="4938"/>
      </w:tblGrid>
      <w:tr>
        <w:trPr>
          <w:tblHeader/>
        </w:trPr>
        <w:tc>
          <w:tcPr>
            <w:tcW w:type="dxa" w:w="2200"/>
            <w:shd w:fill="EEF3F1" w:color="auto" w:val="clear"/>
            <w:tcMar>
              <w:top w:type="dxa" w:w="60"/>
              <w:left w:type="dxa" w:w="100"/>
              <w:bottom w:type="dxa" w:w="60"/>
              <w:right w:type="dxa" w:w="100"/>
            </w:tcMar>
          </w:tcPr>
          <w:p>
            <w:r>
              <w:rPr>
                <w:rFonts w:ascii="Calibri" w:cs="Calibri" w:eastAsia="Calibri" w:hAnsi="Calibri"/>
                <w:b/>
                <w:bCs/>
                <w:color w:val="1F3A5F"/>
                <w:sz w:val="19"/>
                <w:szCs w:val="19"/>
              </w:rPr>
              <w:t xml:space="preserve">Date</w:t>
            </w:r>
          </w:p>
        </w:tc>
        <w:tc>
          <w:tcPr>
            <w:tcW w:type="dxa" w:w="2500"/>
            <w:shd w:fill="EEF3F1" w:color="auto" w:val="clear"/>
            <w:tcMar>
              <w:top w:type="dxa" w:w="60"/>
              <w:left w:type="dxa" w:w="100"/>
              <w:bottom w:type="dxa" w:w="60"/>
              <w:right w:type="dxa" w:w="100"/>
            </w:tcMar>
          </w:tcPr>
          <w:p>
            <w:r>
              <w:rPr>
                <w:rFonts w:ascii="Calibri" w:cs="Calibri" w:eastAsia="Calibri" w:hAnsi="Calibri"/>
                <w:b/>
                <w:bCs/>
                <w:color w:val="1F3A5F"/>
                <w:sz w:val="19"/>
                <w:szCs w:val="19"/>
              </w:rPr>
              <w:t xml:space="preserve">Reviewed by</w:t>
            </w:r>
          </w:p>
        </w:tc>
        <w:tc>
          <w:tcPr>
            <w:tcW w:type="dxa" w:w="4938"/>
            <w:shd w:fill="EEF3F1" w:color="auto" w:val="clear"/>
            <w:tcMar>
              <w:top w:type="dxa" w:w="60"/>
              <w:left w:type="dxa" w:w="100"/>
              <w:bottom w:type="dxa" w:w="60"/>
              <w:right w:type="dxa" w:w="100"/>
            </w:tcMar>
          </w:tcPr>
          <w:p>
            <w:r>
              <w:rPr>
                <w:rFonts w:ascii="Calibri" w:cs="Calibri" w:eastAsia="Calibri" w:hAnsi="Calibri"/>
                <w:b/>
                <w:bCs/>
                <w:color w:val="1F3A5F"/>
                <w:sz w:val="19"/>
                <w:szCs w:val="19"/>
              </w:rPr>
              <w:t xml:space="preserve">Outcome</w:t>
            </w:r>
          </w:p>
        </w:tc>
      </w:tr>
      <w:tr>
        <w:trPr>
          <w:cantSplit/>
        </w:trPr>
        <w:tc>
          <w:tcPr>
            <w:tcW w:type="dxa" w:w="2200"/>
            <w:tcMar>
              <w:top w:type="dxa" w:w="60"/>
              <w:left w:type="dxa" w:w="100"/>
              <w:bottom w:type="dxa" w:w="60"/>
              <w:right w:type="dxa" w:w="100"/>
            </w:tcMar>
          </w:tcPr>
          <w:p>
            <w:r>
              <w:rPr>
                <w:rFonts w:ascii="Calibri" w:cs="Calibri" w:eastAsia="Calibri" w:hAnsi="Calibri"/>
                <w:sz w:val="19"/>
                <w:szCs w:val="19"/>
              </w:rPr>
              <w:t xml:space="preserve"/>
            </w:r>
          </w:p>
        </w:tc>
        <w:tc>
          <w:tcPr>
            <w:tcW w:type="dxa" w:w="2500"/>
            <w:tcMar>
              <w:top w:type="dxa" w:w="60"/>
              <w:left w:type="dxa" w:w="100"/>
              <w:bottom w:type="dxa" w:w="60"/>
              <w:right w:type="dxa" w:w="100"/>
            </w:tcMar>
          </w:tcPr>
          <w:p>
            <w:r>
              <w:rPr>
                <w:rFonts w:ascii="Calibri" w:cs="Calibri" w:eastAsia="Calibri" w:hAnsi="Calibri"/>
                <w:sz w:val="19"/>
                <w:szCs w:val="19"/>
              </w:rPr>
              <w:t xml:space="preserve"/>
            </w:r>
          </w:p>
        </w:tc>
        <w:tc>
          <w:tcPr>
            <w:tcW w:type="dxa" w:w="4938"/>
            <w:tcMar>
              <w:top w:type="dxa" w:w="60"/>
              <w:left w:type="dxa" w:w="100"/>
              <w:bottom w:type="dxa" w:w="60"/>
              <w:right w:type="dxa" w:w="100"/>
            </w:tcMar>
          </w:tcPr>
          <w:p>
            <w:r>
              <w:rPr>
                <w:rFonts w:ascii="Calibri" w:cs="Calibri" w:eastAsia="Calibri" w:hAnsi="Calibri"/>
                <w:sz w:val="19"/>
                <w:szCs w:val="19"/>
              </w:rPr>
              <w:t xml:space="preserve"/>
            </w:r>
          </w:p>
        </w:tc>
      </w:tr>
      <w:tr>
        <w:trPr>
          <w:cantSplit/>
        </w:trPr>
        <w:tc>
          <w:tcPr>
            <w:tcW w:type="dxa" w:w="2200"/>
            <w:tcMar>
              <w:top w:type="dxa" w:w="60"/>
              <w:left w:type="dxa" w:w="100"/>
              <w:bottom w:type="dxa" w:w="60"/>
              <w:right w:type="dxa" w:w="100"/>
            </w:tcMar>
          </w:tcPr>
          <w:p>
            <w:r>
              <w:rPr>
                <w:rFonts w:ascii="Calibri" w:cs="Calibri" w:eastAsia="Calibri" w:hAnsi="Calibri"/>
                <w:sz w:val="19"/>
                <w:szCs w:val="19"/>
              </w:rPr>
              <w:t xml:space="preserve"/>
            </w:r>
          </w:p>
        </w:tc>
        <w:tc>
          <w:tcPr>
            <w:tcW w:type="dxa" w:w="2500"/>
            <w:tcMar>
              <w:top w:type="dxa" w:w="60"/>
              <w:left w:type="dxa" w:w="100"/>
              <w:bottom w:type="dxa" w:w="60"/>
              <w:right w:type="dxa" w:w="100"/>
            </w:tcMar>
          </w:tcPr>
          <w:p>
            <w:r>
              <w:rPr>
                <w:rFonts w:ascii="Calibri" w:cs="Calibri" w:eastAsia="Calibri" w:hAnsi="Calibri"/>
                <w:sz w:val="19"/>
                <w:szCs w:val="19"/>
              </w:rPr>
              <w:t xml:space="preserve"/>
            </w:r>
          </w:p>
        </w:tc>
        <w:tc>
          <w:tcPr>
            <w:tcW w:type="dxa" w:w="4938"/>
            <w:tcMar>
              <w:top w:type="dxa" w:w="60"/>
              <w:left w:type="dxa" w:w="100"/>
              <w:bottom w:type="dxa" w:w="60"/>
              <w:right w:type="dxa" w:w="100"/>
            </w:tcMar>
          </w:tcPr>
          <w:p>
            <w:r>
              <w:rPr>
                <w:rFonts w:ascii="Calibri" w:cs="Calibri" w:eastAsia="Calibri" w:hAnsi="Calibri"/>
                <w:sz w:val="19"/>
                <w:szCs w:val="19"/>
              </w:rPr>
              <w:t xml:space="preserve"/>
            </w:r>
          </w:p>
        </w:tc>
      </w:tr>
      <w:tr>
        <w:trPr>
          <w:cantSplit/>
        </w:trPr>
        <w:tc>
          <w:tcPr>
            <w:tcW w:type="dxa" w:w="2200"/>
            <w:tcMar>
              <w:top w:type="dxa" w:w="60"/>
              <w:left w:type="dxa" w:w="100"/>
              <w:bottom w:type="dxa" w:w="60"/>
              <w:right w:type="dxa" w:w="100"/>
            </w:tcMar>
          </w:tcPr>
          <w:p>
            <w:r>
              <w:rPr>
                <w:rFonts w:ascii="Calibri" w:cs="Calibri" w:eastAsia="Calibri" w:hAnsi="Calibri"/>
                <w:sz w:val="19"/>
                <w:szCs w:val="19"/>
              </w:rPr>
              <w:t xml:space="preserve"/>
            </w:r>
          </w:p>
        </w:tc>
        <w:tc>
          <w:tcPr>
            <w:tcW w:type="dxa" w:w="2500"/>
            <w:tcMar>
              <w:top w:type="dxa" w:w="60"/>
              <w:left w:type="dxa" w:w="100"/>
              <w:bottom w:type="dxa" w:w="60"/>
              <w:right w:type="dxa" w:w="100"/>
            </w:tcMar>
          </w:tcPr>
          <w:p>
            <w:r>
              <w:rPr>
                <w:rFonts w:ascii="Calibri" w:cs="Calibri" w:eastAsia="Calibri" w:hAnsi="Calibri"/>
                <w:sz w:val="19"/>
                <w:szCs w:val="19"/>
              </w:rPr>
              <w:t xml:space="preserve"/>
            </w:r>
          </w:p>
        </w:tc>
        <w:tc>
          <w:tcPr>
            <w:tcW w:type="dxa" w:w="4938"/>
            <w:tcMar>
              <w:top w:type="dxa" w:w="60"/>
              <w:left w:type="dxa" w:w="100"/>
              <w:bottom w:type="dxa" w:w="60"/>
              <w:right w:type="dxa" w:w="100"/>
            </w:tcMar>
          </w:tcPr>
          <w:p>
            <w:r>
              <w:rPr>
                <w:rFonts w:ascii="Calibri" w:cs="Calibri" w:eastAsia="Calibri" w:hAnsi="Calibri"/>
                <w:sz w:val="19"/>
                <w:szCs w:val="19"/>
              </w:rP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770"/>
        <w:sz w:val="16"/>
        <w:szCs w:val="16"/>
      </w:rPr>
      <w:t xml:space="preserve">Data Retention Policy v1.0  ·  page </w:t>
    </w:r>
    <w:r>
      <w:rPr>
        <w:rFonts w:ascii="Calibri" w:cs="Calibri" w:eastAsia="Calibri" w:hAnsi="Calibri"/>
        <w:color w:val="5B6770"/>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of </w:t>
    </w:r>
    <w:r>
      <w:rPr>
        <w:rFonts w:ascii="Calibri" w:cs="Calibri" w:eastAsia="Calibri" w:hAnsi="Calibri"/>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Retention Policy</dc:title>
  <dc:creator>White &amp; Bright Group</dc:creator>
  <cp:lastModifiedBy>Un-named</cp:lastModifiedBy>
  <cp:revision>1</cp:revision>
  <dcterms:created xsi:type="dcterms:W3CDTF">2026-09-24T09:30:54.345Z</dcterms:created>
  <dcterms:modified xsi:type="dcterms:W3CDTF">2026-09-24T09:30:54.346Z</dcterms:modified>
</cp:coreProperties>
</file>

<file path=docProps/custom.xml><?xml version="1.0" encoding="utf-8"?>
<Properties xmlns="http://schemas.openxmlformats.org/officeDocument/2006/custom-properties" xmlns:vt="http://schemas.openxmlformats.org/officeDocument/2006/docPropsVTypes"/>
</file>