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i w:val="false"/>
          <w:iCs w:val="false"/>
          <w:caps w:val="false"/>
          <w:color w:val="1F3B57"/>
          <w:sz w:val="60"/>
          <w:szCs w:val="60"/>
        </w:rPr>
        <w:t xml:space="preserve">WHITE &amp; BRIGHT</w:t>
      </w:r>
    </w:p>
    <w:p>
      <w:pPr>
        <w:spacing w:after="40" w:before="60"/>
        <w:jc w:val="center"/>
      </w:pPr>
      <w:r>
        <w:rPr>
          <w:rFonts w:ascii="Calibri" w:cs="Calibri" w:eastAsia="Calibri" w:hAnsi="Calibri"/>
          <w:b w:val="false"/>
          <w:bCs w:val="false"/>
          <w:i/>
          <w:iCs/>
          <w:caps w:val="false"/>
          <w:color w:val="2E8C8C"/>
          <w:sz w:val="22"/>
          <w:szCs w:val="22"/>
        </w:rPr>
        <w:t xml:space="preserve">Engineering  •  Fabrication  •  Erection  •  Maintenance</w:t>
      </w:r>
    </w:p>
    <w:p>
      <w:pPr>
        <w:pBdr>
          <w:bottom w:val="single" w:color="2F6FB2" w:sz="18" w:space="4"/>
        </w:pBdr>
        <w:spacing w:after="220" w:before="220"/>
      </w:pPr>
      <w:r>
        <w:rPr>
          <w:rFonts w:ascii="Calibri" w:cs="Calibri" w:eastAsia="Calibri" w:hAnsi="Calibri"/>
          <w:b w:val="false"/>
          <w:bCs w:val="false"/>
          <w:i w:val="false"/>
          <w:iCs w:val="false"/>
          <w:caps w:val="false"/>
          <w:color w:val="222222"/>
          <w:sz w:val="21"/>
          <w:szCs w:val="21"/>
        </w:rPr>
        <w:t xml:space="preserve"/>
      </w:r>
    </w:p>
    <w:p>
      <w:pPr>
        <w:spacing w:after="0" w:before="600"/>
        <w:jc w:val="center"/>
      </w:pPr>
      <w:r>
        <w:rPr>
          <w:rFonts w:ascii="Calibri" w:cs="Calibri" w:eastAsia="Calibri" w:hAnsi="Calibri"/>
          <w:b/>
          <w:bCs/>
          <w:i w:val="false"/>
          <w:iCs w:val="false"/>
          <w:caps w:val="false"/>
          <w:color w:val="2F6FB2"/>
          <w:sz w:val="40"/>
          <w:szCs w:val="40"/>
        </w:rPr>
        <w:t xml:space="preserve">BUSINESS REQUIREMENTS DOCUMENT</w:t>
      </w:r>
    </w:p>
    <w:p>
      <w:pPr>
        <w:spacing w:after="0" w:before="120"/>
        <w:jc w:val="center"/>
      </w:pPr>
      <w:r>
        <w:rPr>
          <w:rFonts w:ascii="Calibri" w:cs="Calibri" w:eastAsia="Calibri" w:hAnsi="Calibri"/>
          <w:b w:val="false"/>
          <w:bCs w:val="false"/>
          <w:i w:val="false"/>
          <w:iCs w:val="false"/>
          <w:caps w:val="false"/>
          <w:color w:val="1F3B57"/>
          <w:sz w:val="26"/>
          <w:szCs w:val="26"/>
        </w:rPr>
        <w:t xml:space="preserve">Enterprise Resource Planning (ERP) System</w:t>
      </w:r>
    </w:p>
    <w:p>
      <w:pPr>
        <w:spacing w:after="0" w:before="40"/>
        <w:jc w:val="center"/>
      </w:pPr>
      <w:r>
        <w:rPr>
          <w:rFonts w:ascii="Calibri" w:cs="Calibri" w:eastAsia="Calibri" w:hAnsi="Calibri"/>
          <w:b w:val="false"/>
          <w:bCs w:val="false"/>
          <w:i w:val="false"/>
          <w:iCs w:val="false"/>
          <w:caps w:val="false"/>
          <w:color w:val="6B7683"/>
          <w:sz w:val="17"/>
          <w:szCs w:val="17"/>
        </w:rPr>
        <w:t xml:space="preserve">Multi-Company Group  |  Inventory &amp; SCM  |  HR  |  CRM &amp; Estimation  |  Projects &amp; HSE  |  Finance</w:t>
      </w:r>
    </w:p>
    <w:p>
      <w:pPr>
        <w:spacing w:after="0" w:before="30"/>
        <w:jc w:val="center"/>
      </w:pPr>
      <w:r>
        <w:rPr>
          <w:rFonts w:ascii="Calibri" w:cs="Calibri" w:eastAsia="Calibri" w:hAnsi="Calibri"/>
          <w:b w:val="false"/>
          <w:bCs w:val="false"/>
          <w:i w:val="false"/>
          <w:iCs w:val="false"/>
          <w:caps w:val="false"/>
          <w:color w:val="2E8C8C"/>
          <w:sz w:val="16"/>
          <w:szCs w:val="16"/>
        </w:rPr>
        <w:t xml:space="preserve">WB Engineering  ·  WB Technical Services  ·  Voice Technical Services</w:t>
      </w:r>
    </w:p>
    <w:p>
      <w:pPr>
        <w:shd w:fill="2E8C8C" w:color="auto" w:val="clear"/>
        <w:spacing w:after="0" w:before="160"/>
        <w:jc w:val="center"/>
      </w:pPr>
      <w:r>
        <w:rPr>
          <w:rFonts w:ascii="Calibri" w:cs="Calibri" w:eastAsia="Calibri" w:hAnsi="Calibri"/>
          <w:b/>
          <w:bCs/>
          <w:i w:val="false"/>
          <w:iCs w:val="false"/>
          <w:caps/>
          <w:color w:val="FFFFFF"/>
          <w:sz w:val="20"/>
          <w:szCs w:val="20"/>
        </w:rPr>
        <w:t xml:space="preserve">  APPROVED  &amp;  BASELINED  </w:t>
      </w:r>
    </w:p>
    <w:p>
      <w:pPr>
        <w:spacing w:after="0" w:before="900"/>
      </w:pPr>
      <w:r>
        <w:rPr>
          <w:rFonts w:ascii="Calibri" w:cs="Calibri" w:eastAsia="Calibri" w:hAnsi="Calibri"/>
          <w:b w:val="false"/>
          <w:bCs w:val="false"/>
          <w:i w:val="false"/>
          <w:iCs w:val="false"/>
          <w:caps w:val="false"/>
          <w:color w:val="222222"/>
          <w:sz w:val="21"/>
          <w:szCs w:val="21"/>
        </w:rPr>
        <w:t xml:space="preserve"/>
      </w:r>
    </w:p>
    <w:tbl>
      <w:tblPr>
        <w:tblW w:type="dxa" w:w="9360"/>
        <w:jc w:val="center"/>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c>
          <w:tcPr>
            <w:tcW w:type="dxa" w:w="30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19"/>
                <w:szCs w:val="19"/>
              </w:rPr>
              <w:t xml:space="preserve">Document Title</w:t>
            </w:r>
          </w:p>
        </w:tc>
        <w:tc>
          <w:tcPr>
            <w:tcW w:type="dxa" w:w="63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Business Requirements Document — White &amp; Bright Group ERP</w:t>
            </w:r>
          </w:p>
        </w:tc>
      </w:tr>
      <w:tr>
        <w:tc>
          <w:tcPr>
            <w:tcW w:type="dxa" w:w="30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19"/>
                <w:szCs w:val="19"/>
              </w:rPr>
              <w:t xml:space="preserve">Version</w:t>
            </w:r>
          </w:p>
        </w:tc>
        <w:tc>
          <w:tcPr>
            <w:tcW w:type="dxa" w:w="63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1.2 — Approved Baseline</w:t>
            </w:r>
          </w:p>
        </w:tc>
      </w:tr>
      <w:tr>
        <w:tc>
          <w:tcPr>
            <w:tcW w:type="dxa" w:w="30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19"/>
                <w:szCs w:val="19"/>
              </w:rPr>
              <w:t xml:space="preserve">Date</w:t>
            </w:r>
          </w:p>
        </w:tc>
        <w:tc>
          <w:tcPr>
            <w:tcW w:type="dxa" w:w="63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30 August 2026</w:t>
            </w:r>
          </w:p>
        </w:tc>
      </w:tr>
      <w:tr>
        <w:tc>
          <w:tcPr>
            <w:tcW w:type="dxa" w:w="30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19"/>
                <w:szCs w:val="19"/>
              </w:rPr>
              <w:t xml:space="preserve">Approved On</w:t>
            </w:r>
          </w:p>
        </w:tc>
        <w:tc>
          <w:tcPr>
            <w:tcW w:type="dxa" w:w="63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30 August 2026</w:t>
            </w:r>
          </w:p>
        </w:tc>
      </w:tr>
      <w:tr>
        <w:tc>
          <w:tcPr>
            <w:tcW w:type="dxa" w:w="30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19"/>
                <w:szCs w:val="19"/>
              </w:rPr>
              <w:t xml:space="preserve">Prepared For</w:t>
            </w:r>
          </w:p>
        </w:tc>
        <w:tc>
          <w:tcPr>
            <w:tcW w:type="dxa" w:w="63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White &amp; Bright Group of Companies — Management / Steering Committee</w:t>
            </w:r>
          </w:p>
        </w:tc>
      </w:tr>
      <w:tr>
        <w:tc>
          <w:tcPr>
            <w:tcW w:type="dxa" w:w="30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19"/>
                <w:szCs w:val="19"/>
              </w:rPr>
              <w:t xml:space="preserve">Classification</w:t>
            </w:r>
          </w:p>
        </w:tc>
        <w:tc>
          <w:tcPr>
            <w:tcW w:type="dxa" w:w="63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Confidential — Internal Use Only</w:t>
            </w:r>
          </w:p>
        </w:tc>
      </w:tr>
      <w:tr>
        <w:tc>
          <w:tcPr>
            <w:tcW w:type="dxa" w:w="30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19"/>
                <w:szCs w:val="19"/>
              </w:rPr>
              <w:t xml:space="preserve">Status</w:t>
            </w:r>
          </w:p>
        </w:tc>
        <w:tc>
          <w:tcPr>
            <w:tcW w:type="dxa" w:w="63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APPROVED &amp; BASELINED — locked for development (further changes via change control)</w:t>
            </w:r>
          </w:p>
        </w:tc>
      </w:tr>
    </w:tbl>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Document Control</w:t>
      </w:r>
    </w:p>
    <w:p>
      <w:pPr>
        <w:pStyle w:val="Heading3"/>
        <w:spacing w:after="80" w:before="180"/>
      </w:pPr>
      <w:r>
        <w:rPr>
          <w:rFonts w:ascii="Calibri" w:cs="Calibri" w:eastAsia="Calibri" w:hAnsi="Calibri"/>
          <w:b/>
          <w:bCs/>
          <w:i w:val="false"/>
          <w:iCs w:val="false"/>
          <w:caps w:val="false"/>
          <w:color w:val="2E8C8C"/>
          <w:sz w:val="21"/>
          <w:szCs w:val="21"/>
        </w:rPr>
        <w:t xml:space="preserve">Revision History</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050"/>
        <w:gridCol w:w="1250"/>
        <w:gridCol w:w="2000"/>
        <w:gridCol w:w="5060"/>
      </w:tblGrid>
      <w:tr>
        <w:trPr>
          <w:tblHeader/>
        </w:trPr>
        <w:tc>
          <w:tcPr>
            <w:tcW w:type="dxa" w:w="10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Version</w:t>
            </w:r>
          </w:p>
        </w:tc>
        <w:tc>
          <w:tcPr>
            <w:tcW w:type="dxa" w:w="12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Date</w:t>
            </w:r>
          </w:p>
        </w:tc>
        <w:tc>
          <w:tcPr>
            <w:tcW w:type="dxa" w:w="20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Author</w:t>
            </w:r>
          </w:p>
        </w:tc>
        <w:tc>
          <w:tcPr>
            <w:tcW w:type="dxa" w:w="50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Summary of Changes</w:t>
            </w:r>
          </w:p>
        </w:tc>
      </w:tr>
      <w:tr>
        <w:tc>
          <w:tcPr>
            <w:tcW w:type="dxa" w:w="105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0.1</w:t>
            </w:r>
          </w:p>
        </w:tc>
        <w:tc>
          <w:tcPr>
            <w:tcW w:type="dxa" w:w="125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Aug 2026</w:t>
            </w:r>
          </w:p>
        </w:tc>
        <w:tc>
          <w:tcPr>
            <w:tcW w:type="dxa" w:w="20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Business Analysis Team</w:t>
            </w:r>
          </w:p>
        </w:tc>
        <w:tc>
          <w:tcPr>
            <w:tcW w:type="dxa" w:w="50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Initial requirement capture (source draft)</w:t>
            </w:r>
          </w:p>
        </w:tc>
      </w:tr>
      <w:tr>
        <w:tc>
          <w:tcPr>
            <w:tcW w:type="dxa" w:w="105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1.0</w:t>
            </w:r>
          </w:p>
        </w:tc>
        <w:tc>
          <w:tcPr>
            <w:tcW w:type="dxa" w:w="125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19 Aug 2026</w:t>
            </w:r>
          </w:p>
        </w:tc>
        <w:tc>
          <w:tcPr>
            <w:tcW w:type="dxa" w:w="20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Business Analysis Team</w:t>
            </w:r>
          </w:p>
        </w:tc>
        <w:tc>
          <w:tcPr>
            <w:tcW w:type="dxa" w:w="50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Structured BRD with scope, functional &amp; non-functional requirements, value-add features</w:t>
            </w:r>
          </w:p>
        </w:tc>
      </w:tr>
      <w:tr>
        <w:tc>
          <w:tcPr>
            <w:tcW w:type="dxa" w:w="105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1.1</w:t>
            </w:r>
          </w:p>
        </w:tc>
        <w:tc>
          <w:tcPr>
            <w:tcW w:type="dxa" w:w="125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27 Aug 2026</w:t>
            </w:r>
          </w:p>
        </w:tc>
        <w:tc>
          <w:tcPr>
            <w:tcW w:type="dxa" w:w="20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Business Analysis Team</w:t>
            </w:r>
          </w:p>
        </w:tc>
        <w:tc>
          <w:tcPr>
            <w:tcW w:type="dxa" w:w="50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Incorporated client feedback: multi-company group structure, inter-company resource sharing &amp; accounting, supplied-manpower &amp; medical records (HR), project types / subcontracts / extra work / progress tracking (PRJ), revised 4-phase roadmap</w:t>
            </w:r>
          </w:p>
        </w:tc>
      </w:tr>
      <w:tr>
        <w:tc>
          <w:tcPr>
            <w:tcW w:type="dxa" w:w="105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1.2</w:t>
            </w:r>
          </w:p>
        </w:tc>
        <w:tc>
          <w:tcPr>
            <w:tcW w:type="dxa" w:w="125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30 Aug 2026</w:t>
            </w:r>
          </w:p>
        </w:tc>
        <w:tc>
          <w:tcPr>
            <w:tcW w:type="dxa" w:w="20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Business Analysis Team</w:t>
            </w:r>
          </w:p>
        </w:tc>
        <w:tc>
          <w:tcPr>
            <w:tcW w:type="dxa" w:w="50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Added Job Assignments &amp; Task Management to HR &amp; Admin (HR-18…23); added a Director sign-off level between Operations Manager and Managing Director (INV-08, FIN-04).</w:t>
            </w:r>
          </w:p>
        </w:tc>
      </w:tr>
      <w:tr>
        <w:tc>
          <w:tcPr>
            <w:tcW w:type="dxa" w:w="105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1.2 ✓</w:t>
            </w:r>
          </w:p>
        </w:tc>
        <w:tc>
          <w:tcPr>
            <w:tcW w:type="dxa" w:w="125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30 Aug 2026</w:t>
            </w:r>
          </w:p>
        </w:tc>
        <w:tc>
          <w:tcPr>
            <w:tcW w:type="dxa" w:w="20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Client</w:t>
            </w:r>
          </w:p>
        </w:tc>
        <w:tc>
          <w:tcPr>
            <w:tcW w:type="dxa" w:w="50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APPROVED &amp; BASELINED by the client. This version is locked as the baseline for development; any further change is via formal change control.</w:t>
            </w:r>
          </w:p>
        </w:tc>
      </w:tr>
    </w:tbl>
    <w:p>
      <w:pPr>
        <w:spacing w:after="100"/>
      </w:pPr>
      <w:r>
        <w:rPr>
          <w:rFonts w:ascii="Calibri" w:cs="Calibri" w:eastAsia="Calibri" w:hAnsi="Calibri"/>
          <w:b w:val="false"/>
          <w:bCs w:val="false"/>
          <w:i w:val="false"/>
          <w:iCs w:val="false"/>
          <w:caps w:val="false"/>
          <w:color w:val="222222"/>
          <w:sz w:val="21"/>
          <w:szCs w:val="21"/>
        </w:rPr>
        <w:t xml:space="preserve"/>
      </w:r>
    </w:p>
    <w:p>
      <w:pPr>
        <w:pStyle w:val="Heading3"/>
        <w:spacing w:after="80" w:before="180"/>
      </w:pPr>
      <w:r>
        <w:rPr>
          <w:rFonts w:ascii="Calibri" w:cs="Calibri" w:eastAsia="Calibri" w:hAnsi="Calibri"/>
          <w:b/>
          <w:bCs/>
          <w:i w:val="false"/>
          <w:iCs w:val="false"/>
          <w:caps w:val="false"/>
          <w:color w:val="2E8C8C"/>
          <w:sz w:val="21"/>
          <w:szCs w:val="21"/>
        </w:rPr>
        <w:t xml:space="preserve">Change History  (v1.0 → v1.2)</w:t>
      </w:r>
    </w:p>
    <w:tbl>
      <w:tblPr>
        <w:tblW w:type="dxa" w:w="9360"/>
        <w:tblBorders>
          <w:top w:val="single" w:color="2E8C8C" w:sz="4"/>
          <w:left w:val="single" w:color="2E8C8C" w:sz="30"/>
          <w:bottom w:val="single" w:color="2E8C8C" w:sz="4"/>
          <w:right w:val="single" w:color="2E8C8C" w:sz="4"/>
          <w:insideH w:val="none"/>
          <w:insideV w:val="none"/>
        </w:tblBorders>
      </w:tblPr>
      <w:tblGrid>
        <w:gridCol w:w="9360"/>
      </w:tblGrid>
      <w:tr>
        <w:tc>
          <w:tcPr>
            <w:tcW w:type="dxa" w:w="9360"/>
            <w:shd w:fill="F2FAFA" w:color="auto" w:val="clear"/>
            <w:tcMar>
              <w:top w:type="dxa" w:w="60"/>
              <w:left w:type="dxa" w:w="110"/>
              <w:bottom w:type="dxa" w:w="60"/>
              <w:right w:type="dxa" w:w="110"/>
            </w:tcMar>
            <w:vAlign w:val="center"/>
          </w:tcPr>
          <w:p>
            <w:pPr>
              <w:spacing w:after="40"/>
            </w:pPr>
            <w:r>
              <w:rPr>
                <w:rFonts w:ascii="Calibri" w:cs="Calibri" w:eastAsia="Calibri" w:hAnsi="Calibri"/>
                <w:b/>
                <w:bCs/>
                <w:i w:val="false"/>
                <w:iCs w:val="false"/>
                <w:caps/>
                <w:color w:val="2E8C8C"/>
                <w:sz w:val="20"/>
                <w:szCs w:val="20"/>
              </w:rPr>
              <w:t xml:space="preserve">Approved &amp; baselined</w:t>
            </w:r>
          </w:p>
          <w:p>
            <w:pPr>
              <w:spacing w:after="0"/>
            </w:pPr>
            <w:r>
              <w:rPr>
                <w:rFonts w:ascii="Calibri" w:cs="Calibri" w:eastAsia="Calibri" w:hAnsi="Calibri"/>
                <w:b w:val="false"/>
                <w:bCs w:val="false"/>
                <w:i w:val="false"/>
                <w:iCs w:val="false"/>
                <w:caps w:val="false"/>
                <w:color w:val="2B2B2B"/>
                <w:sz w:val="20"/>
                <w:szCs w:val="20"/>
              </w:rPr>
              <w:t xml:space="preserve">This document has been approved by the client and is locked as the baseline for development. The register below records what was added through each revision. Any further change from this point is handled through formal change control.</w:t>
            </w:r>
          </w:p>
        </w:tc>
      </w:tr>
    </w:tbl>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700"/>
        <w:gridCol w:w="2950"/>
        <w:gridCol w:w="4510"/>
        <w:gridCol w:w="1200"/>
      </w:tblGrid>
      <w:tr>
        <w:trPr>
          <w:tblHeader/>
        </w:trPr>
        <w:tc>
          <w:tcPr>
            <w:tcW w:type="dxa" w:w="7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Ver</w:t>
            </w:r>
          </w:p>
        </w:tc>
        <w:tc>
          <w:tcPr>
            <w:tcW w:type="dxa" w:w="29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Section / Area</w:t>
            </w:r>
          </w:p>
        </w:tc>
        <w:tc>
          <w:tcPr>
            <w:tcW w:type="dxa" w:w="45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What was added or changed</w:t>
            </w:r>
          </w:p>
        </w:tc>
        <w:tc>
          <w:tcPr>
            <w:tcW w:type="dxa" w:w="12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Refs</w:t>
            </w:r>
          </w:p>
        </w:tc>
      </w:tr>
      <w:tr>
        <w:tc>
          <w:tcPr>
            <w:tcW w:type="dxa" w:w="7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1.1</w:t>
            </w:r>
          </w:p>
        </w:tc>
        <w:tc>
          <w:tcPr>
            <w:tcW w:type="dxa" w:w="295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6.1 Multi-Company &amp; Group Management</w:t>
            </w:r>
          </w:p>
        </w:tc>
        <w:tc>
          <w:tcPr>
            <w:tcW w:type="dxa" w:w="45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New module: multi-company setup &amp; login, inter-company resource sharing/outsourcing, multi-company accounting, costing &amp; consolidation</w:t>
            </w:r>
          </w:p>
        </w:tc>
        <w:tc>
          <w:tcPr>
            <w:tcW w:type="dxa" w:w="12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GRP-01…09</w:t>
            </w:r>
          </w:p>
        </w:tc>
      </w:tr>
      <w:tr>
        <w:tc>
          <w:tcPr>
            <w:tcW w:type="dxa" w:w="7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1.1</w:t>
            </w:r>
          </w:p>
        </w:tc>
        <w:tc>
          <w:tcPr>
            <w:tcW w:type="dxa" w:w="295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1–3 Summary / Objectives / Scope</w:t>
            </w:r>
          </w:p>
        </w:tc>
        <w:tc>
          <w:tcPr>
            <w:tcW w:type="dxa" w:w="45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Reframed from a single company to the group (WB Engineering, WB Technical Services, Voice Technical Services)</w:t>
            </w:r>
          </w:p>
        </w:tc>
        <w:tc>
          <w:tcPr>
            <w:tcW w:type="dxa" w:w="12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w:t>
            </w:r>
          </w:p>
        </w:tc>
      </w:tr>
      <w:tr>
        <w:tc>
          <w:tcPr>
            <w:tcW w:type="dxa" w:w="7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1.1</w:t>
            </w:r>
          </w:p>
        </w:tc>
        <w:tc>
          <w:tcPr>
            <w:tcW w:type="dxa" w:w="295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6.3 HR &amp; Admin</w:t>
            </w:r>
          </w:p>
        </w:tc>
        <w:tc>
          <w:tcPr>
            <w:tcW w:type="dxa" w:w="45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Supplied-manpower workers + certifications; employee previous medical records; project timesheet by Project ID</w:t>
            </w:r>
          </w:p>
        </w:tc>
        <w:tc>
          <w:tcPr>
            <w:tcW w:type="dxa" w:w="12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HR-15…17</w:t>
            </w:r>
          </w:p>
        </w:tc>
      </w:tr>
      <w:tr>
        <w:tc>
          <w:tcPr>
            <w:tcW w:type="dxa" w:w="7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1.1</w:t>
            </w:r>
          </w:p>
        </w:tc>
        <w:tc>
          <w:tcPr>
            <w:tcW w:type="dxa" w:w="295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6.5 Project Management</w:t>
            </w:r>
          </w:p>
        </w:tc>
        <w:tc>
          <w:tcPr>
            <w:tcW w:type="dxa" w:w="45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Project types (with / without materials); subcontract types; extra-work orders; daily/weekly progress; project timesheets</w:t>
            </w:r>
          </w:p>
        </w:tc>
        <w:tc>
          <w:tcPr>
            <w:tcW w:type="dxa" w:w="12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PRJ-11…15, PRJ-06</w:t>
            </w:r>
          </w:p>
        </w:tc>
      </w:tr>
      <w:tr>
        <w:tc>
          <w:tcPr>
            <w:tcW w:type="dxa" w:w="7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1.1</w:t>
            </w:r>
          </w:p>
        </w:tc>
        <w:tc>
          <w:tcPr>
            <w:tcW w:type="dxa" w:w="295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6.7 Finance &amp; Accounting</w:t>
            </w:r>
          </w:p>
        </w:tc>
        <w:tc>
          <w:tcPr>
            <w:tcW w:type="dxa" w:w="45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Multi-company accounting &amp; consolidation; costing updated for timesheets, subcontracts, inter-company</w:t>
            </w:r>
          </w:p>
        </w:tc>
        <w:tc>
          <w:tcPr>
            <w:tcW w:type="dxa" w:w="12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FIN-05, FIN-06</w:t>
            </w:r>
          </w:p>
        </w:tc>
      </w:tr>
      <w:tr>
        <w:tc>
          <w:tcPr>
            <w:tcW w:type="dxa" w:w="7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1.1</w:t>
            </w:r>
          </w:p>
        </w:tc>
        <w:tc>
          <w:tcPr>
            <w:tcW w:type="dxa" w:w="295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11 Implementation Roadmap</w:t>
            </w:r>
          </w:p>
        </w:tc>
        <w:tc>
          <w:tcPr>
            <w:tcW w:type="dxa" w:w="45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Revised to a four-phase plan; multi-company foundation in Phase 1</w:t>
            </w:r>
          </w:p>
        </w:tc>
        <w:tc>
          <w:tcPr>
            <w:tcW w:type="dxa" w:w="12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Sec 11</w:t>
            </w:r>
          </w:p>
        </w:tc>
      </w:tr>
      <w:tr>
        <w:tc>
          <w:tcPr>
            <w:tcW w:type="dxa" w:w="7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1.2</w:t>
            </w:r>
          </w:p>
        </w:tc>
        <w:tc>
          <w:tcPr>
            <w:tcW w:type="dxa" w:w="295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6.3 HR &amp; Admin — Job Assignments</w:t>
            </w:r>
          </w:p>
        </w:tc>
        <w:tc>
          <w:tcPr>
            <w:tcW w:type="dxa" w:w="45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Assign a job to a department/person; assigned-by; time allocation; self-assignment; progress tracking; alerts; ticket closure</w:t>
            </w:r>
          </w:p>
        </w:tc>
        <w:tc>
          <w:tcPr>
            <w:tcW w:type="dxa" w:w="12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HR-18…23</w:t>
            </w:r>
          </w:p>
        </w:tc>
      </w:tr>
      <w:tr>
        <w:tc>
          <w:tcPr>
            <w:tcW w:type="dxa" w:w="7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1.2</w:t>
            </w:r>
          </w:p>
        </w:tc>
        <w:tc>
          <w:tcPr>
            <w:tcW w:type="dxa" w:w="295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Sign-off hierarchy</w:t>
            </w:r>
          </w:p>
        </w:tc>
        <w:tc>
          <w:tcPr>
            <w:tcW w:type="dxa" w:w="45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Added a Director level between the Operations Manager and the Managing Director</w:t>
            </w:r>
          </w:p>
        </w:tc>
        <w:tc>
          <w:tcPr>
            <w:tcW w:type="dxa" w:w="12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INV-08, FIN-04, §13</w:t>
            </w:r>
          </w:p>
        </w:tc>
      </w:tr>
    </w:tbl>
    <w:p>
      <w:pPr>
        <w:spacing w:after="80"/>
      </w:pPr>
      <w:r>
        <w:rPr>
          <w:rFonts w:ascii="Calibri" w:cs="Calibri" w:eastAsia="Calibri" w:hAnsi="Calibri"/>
          <w:b w:val="false"/>
          <w:bCs w:val="false"/>
          <w:i w:val="false"/>
          <w:iCs w:val="false"/>
          <w:caps w:val="false"/>
          <w:color w:val="222222"/>
          <w:sz w:val="21"/>
          <w:szCs w:val="21"/>
        </w:rPr>
        <w:t xml:space="preserve"/>
      </w:r>
    </w:p>
    <w:p>
      <w:pPr>
        <w:pStyle w:val="Heading3"/>
        <w:spacing w:after="80" w:before="180"/>
      </w:pPr>
      <w:r>
        <w:rPr>
          <w:rFonts w:ascii="Calibri" w:cs="Calibri" w:eastAsia="Calibri" w:hAnsi="Calibri"/>
          <w:b/>
          <w:bCs/>
          <w:i w:val="false"/>
          <w:iCs w:val="false"/>
          <w:caps w:val="false"/>
          <w:color w:val="2E8C8C"/>
          <w:sz w:val="21"/>
          <w:szCs w:val="21"/>
        </w:rPr>
        <w:t xml:space="preserve">Distribution List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4000"/>
        <w:gridCol w:w="5360"/>
      </w:tblGrid>
      <w:tr>
        <w:trPr>
          <w:tblHeader/>
        </w:trPr>
        <w:tc>
          <w:tcPr>
            <w:tcW w:type="dxa" w:w="40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Name / Role</w:t>
            </w:r>
          </w:p>
        </w:tc>
        <w:tc>
          <w:tcPr>
            <w:tcW w:type="dxa" w:w="53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Responsibility</w:t>
            </w:r>
          </w:p>
        </w:tc>
      </w:tr>
      <w:tr>
        <w:tc>
          <w:tcPr>
            <w:tcW w:type="dxa" w:w="40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Managing Director / Directors</w:t>
            </w:r>
          </w:p>
        </w:tc>
        <w:tc>
          <w:tcPr>
            <w:tcW w:type="dxa" w:w="53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Approval and funding authority</w:t>
            </w:r>
          </w:p>
        </w:tc>
      </w:tr>
      <w:tr>
        <w:tc>
          <w:tcPr>
            <w:tcW w:type="dxa" w:w="40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Operations Manager</w:t>
            </w:r>
          </w:p>
        </w:tc>
        <w:tc>
          <w:tcPr>
            <w:tcW w:type="dxa" w:w="53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Business sign-off — Projects, Inventory, HSE</w:t>
            </w:r>
          </w:p>
        </w:tc>
      </w:tr>
      <w:tr>
        <w:tc>
          <w:tcPr>
            <w:tcW w:type="dxa" w:w="40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Finance Controller</w:t>
            </w:r>
          </w:p>
        </w:tc>
        <w:tc>
          <w:tcPr>
            <w:tcW w:type="dxa" w:w="53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Business sign-off — Finance &amp; Costing</w:t>
            </w:r>
          </w:p>
        </w:tc>
      </w:tr>
      <w:tr>
        <w:tc>
          <w:tcPr>
            <w:tcW w:type="dxa" w:w="40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HR Manager</w:t>
            </w:r>
          </w:p>
        </w:tc>
        <w:tc>
          <w:tcPr>
            <w:tcW w:type="dxa" w:w="53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Business sign-off — Human Resources</w:t>
            </w:r>
          </w:p>
        </w:tc>
      </w:tr>
      <w:tr>
        <w:tc>
          <w:tcPr>
            <w:tcW w:type="dxa" w:w="40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Commercial / Estimation Head</w:t>
            </w:r>
          </w:p>
        </w:tc>
        <w:tc>
          <w:tcPr>
            <w:tcW w:type="dxa" w:w="53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Business sign-off — CRM &amp; Estimation</w:t>
            </w:r>
          </w:p>
        </w:tc>
      </w:tr>
      <w:tr>
        <w:tc>
          <w:tcPr>
            <w:tcW w:type="dxa" w:w="40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IT / ERP Implementation Partner</w:t>
            </w:r>
          </w:p>
        </w:tc>
        <w:tc>
          <w:tcPr>
            <w:tcW w:type="dxa" w:w="53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Solution design and delivery</w:t>
            </w:r>
          </w:p>
        </w:tc>
      </w:tr>
    </w:tbl>
    <w:p>
      <w:pPr>
        <w:spacing w:after="80"/>
      </w:pPr>
      <w:r>
        <w:rPr>
          <w:rFonts w:ascii="Calibri" w:cs="Calibri" w:eastAsia="Calibri" w:hAnsi="Calibri"/>
          <w:b w:val="false"/>
          <w:bCs w:val="false"/>
          <w:i w:val="false"/>
          <w:iCs w:val="false"/>
          <w:caps w:val="false"/>
          <w:color w:val="222222"/>
          <w:sz w:val="21"/>
          <w:szCs w:val="21"/>
        </w:rPr>
        <w:t xml:space="preserve"/>
      </w:r>
    </w:p>
    <w:p>
      <w:pPr>
        <w:pStyle w:val="Heading3"/>
        <w:spacing w:after="80" w:before="180"/>
      </w:pPr>
      <w:r>
        <w:rPr>
          <w:rFonts w:ascii="Calibri" w:cs="Calibri" w:eastAsia="Calibri" w:hAnsi="Calibri"/>
          <w:b/>
          <w:bCs/>
          <w:i w:val="false"/>
          <w:iCs w:val="false"/>
          <w:caps w:val="false"/>
          <w:color w:val="2E8C8C"/>
          <w:sz w:val="21"/>
          <w:szCs w:val="21"/>
        </w:rPr>
        <w:t xml:space="preserve">How to Read This Document</w:t>
      </w:r>
    </w:p>
    <w:p>
      <w:pPr>
        <w:spacing w:after="140" w:before="0" w:line="276"/>
      </w:pPr>
      <w:r>
        <w:rPr>
          <w:rFonts w:ascii="Calibri" w:cs="Calibri" w:eastAsia="Calibri" w:hAnsi="Calibri"/>
          <w:b w:val="false"/>
          <w:bCs w:val="false"/>
          <w:i w:val="false"/>
          <w:iCs w:val="false"/>
          <w:caps w:val="false"/>
          <w:color w:val="2B2B2B"/>
          <w:sz w:val="21"/>
          <w:szCs w:val="21"/>
        </w:rPr>
        <w:t xml:space="preserve">Each functional requirement carries a unique reference (e.g. INV-05) and a priority rating using the MoSCoW method, so that scope can be agreed and delivery planned in phases: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600"/>
        <w:gridCol w:w="7760"/>
      </w:tblGrid>
      <w:tr>
        <w:trPr>
          <w:tblHeader/>
        </w:trPr>
        <w:tc>
          <w:tcPr>
            <w:tcW w:type="dxa" w:w="16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c>
          <w:tcPr>
            <w:tcW w:type="dxa" w:w="77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Meaning</w:t>
            </w:r>
          </w:p>
        </w:tc>
      </w:tr>
      <w:tr>
        <w:tc>
          <w:tcPr>
            <w:tcW w:type="dxa" w:w="1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Must</w:t>
            </w:r>
          </w:p>
        </w:tc>
        <w:tc>
          <w:tcPr>
            <w:tcW w:type="dxa" w:w="7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Essential for go-live — the system is not usable for its purpose without it.</w:t>
            </w:r>
          </w:p>
        </w:tc>
      </w:tr>
      <w:tr>
        <w:tc>
          <w:tcPr>
            <w:tcW w:type="dxa" w:w="1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Should</w:t>
            </w:r>
          </w:p>
        </w:tc>
        <w:tc>
          <w:tcPr>
            <w:tcW w:type="dxa" w:w="7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Important and expected, but a short-term manual workaround exists if needed.</w:t>
            </w:r>
          </w:p>
        </w:tc>
      </w:tr>
      <w:tr>
        <w:tc>
          <w:tcPr>
            <w:tcW w:type="dxa" w:w="1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Could</w:t>
            </w:r>
          </w:p>
        </w:tc>
        <w:tc>
          <w:tcPr>
            <w:tcW w:type="dxa" w:w="7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Desirable enhancement; included if time and budget permit.</w:t>
            </w:r>
          </w:p>
        </w:tc>
      </w:tr>
    </w:tbl>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1.  Executive Summary</w:t>
      </w:r>
    </w:p>
    <w:p>
      <w:pPr>
        <w:spacing w:after="140" w:before="0" w:line="276"/>
      </w:pPr>
      <w:r>
        <w:rPr>
          <w:rFonts w:ascii="Calibri" w:cs="Calibri" w:eastAsia="Calibri" w:hAnsi="Calibri"/>
          <w:b w:val="false"/>
          <w:bCs w:val="false"/>
          <w:i w:val="false"/>
          <w:iCs w:val="false"/>
          <w:caps w:val="false"/>
          <w:color w:val="2B2B2B"/>
          <w:sz w:val="21"/>
          <w:szCs w:val="21"/>
        </w:rPr>
        <w:t xml:space="preserve">White &amp; Bright is a group of companies — including WB Engineering, WB Technical Services and Voice Technical Services — delivering structural steel fabrication, on-site erection, plant maintenance and shutdown services, technical services and associated civil works. The group companies work closely together, frequently sharing manpower, tools and materials across projects. As the group grows across multiple companies, projects, sites and vendors, its current mix of spreadsheets, standalone tools and manual approvals no longer provides the visibility, control and speed that management needs.</w:t>
      </w:r>
    </w:p>
    <w:p>
      <w:pPr>
        <w:spacing w:after="140" w:before="0" w:line="276"/>
      </w:pPr>
      <w:r>
        <w:rPr>
          <w:rFonts w:ascii="Calibri" w:cs="Calibri" w:eastAsia="Calibri" w:hAnsi="Calibri"/>
          <w:b w:val="false"/>
          <w:bCs w:val="false"/>
          <w:i w:val="false"/>
          <w:iCs w:val="false"/>
          <w:caps w:val="false"/>
          <w:color w:val="2B2B2B"/>
          <w:sz w:val="21"/>
          <w:szCs w:val="21"/>
        </w:rPr>
        <w:t xml:space="preserve">This document defines the business requirements for a single, integrated, multi-company Enterprise Resource Planning (ERP) system that connects all group companies and the core areas of the business — Multi-Company &amp; Group Management, Inventory &amp; Supply Chain, Human Resources, Sales &amp; Estimation (CRM), Project Delivery (including Health, Safety &amp; Environment), and Finance &amp; Accounting — on one shared platform and one version of the truth.</w:t>
      </w:r>
    </w:p>
    <w:p>
      <w:pPr>
        <w:spacing w:after="140" w:before="0" w:line="276"/>
      </w:pPr>
      <w:r>
        <w:rPr>
          <w:rFonts w:ascii="Calibri" w:cs="Calibri" w:eastAsia="Calibri" w:hAnsi="Calibri"/>
          <w:b w:val="false"/>
          <w:bCs w:val="false"/>
          <w:i w:val="false"/>
          <w:iCs w:val="false"/>
          <w:caps w:val="false"/>
          <w:color w:val="2B2B2B"/>
          <w:sz w:val="21"/>
          <w:szCs w:val="21"/>
        </w:rPr>
        <w:t xml:space="preserve">The goal is simple to state: from a customer enquiry through estimation, purchasing, project execution and safety, to final invoicing and profitability — and across every company in the group — every step should be captured once, flow automatically to the next department, and be visible to management in real time, both per company and consolidated for the group.</w:t>
      </w:r>
    </w:p>
    <w:tbl>
      <w:tblPr>
        <w:tblW w:type="dxa" w:w="9360"/>
        <w:tblBorders>
          <w:top w:val="single" w:color="2E8C8C" w:sz="4"/>
          <w:left w:val="single" w:color="2E8C8C" w:sz="30"/>
          <w:bottom w:val="single" w:color="2E8C8C" w:sz="4"/>
          <w:right w:val="single" w:color="2E8C8C" w:sz="4"/>
          <w:insideH w:val="none"/>
          <w:insideV w:val="none"/>
        </w:tblBorders>
      </w:tblPr>
      <w:tblGrid>
        <w:gridCol w:w="9360"/>
      </w:tblGrid>
      <w:tr>
        <w:tc>
          <w:tcPr>
            <w:tcW w:type="dxa" w:w="9360"/>
            <w:shd w:fill="F2FAFA" w:color="auto" w:val="clear"/>
            <w:tcMar>
              <w:top w:type="dxa" w:w="60"/>
              <w:left w:type="dxa" w:w="110"/>
              <w:bottom w:type="dxa" w:w="60"/>
              <w:right w:type="dxa" w:w="110"/>
            </w:tcMar>
            <w:vAlign w:val="center"/>
          </w:tcPr>
          <w:p>
            <w:pPr>
              <w:spacing w:after="40"/>
            </w:pPr>
            <w:r>
              <w:rPr>
                <w:rFonts w:ascii="Calibri" w:cs="Calibri" w:eastAsia="Calibri" w:hAnsi="Calibri"/>
                <w:b/>
                <w:bCs/>
                <w:i w:val="false"/>
                <w:iCs w:val="false"/>
                <w:caps/>
                <w:color w:val="2E8C8C"/>
                <w:sz w:val="20"/>
                <w:szCs w:val="20"/>
              </w:rPr>
              <w:t xml:space="preserve">The business outcome</w:t>
            </w:r>
          </w:p>
          <w:p>
            <w:pPr>
              <w:spacing w:after="0"/>
            </w:pPr>
            <w:r>
              <w:rPr>
                <w:rFonts w:ascii="Calibri" w:cs="Calibri" w:eastAsia="Calibri" w:hAnsi="Calibri"/>
                <w:b w:val="false"/>
                <w:bCs w:val="false"/>
                <w:i w:val="false"/>
                <w:iCs w:val="false"/>
                <w:caps w:val="false"/>
                <w:color w:val="2B2B2B"/>
                <w:sz w:val="20"/>
                <w:szCs w:val="20"/>
              </w:rPr>
              <w:t xml:space="preserve">One connected group-wide system that runs each company's own books while sharing resources between companies, shortens the enquiry-to-quotation cycle, prevents stock-outs and calibration lapses, keeps certifications, visas and medical records compliant, controls project cost against budget, and gives directors live profitability and cash-flow visibility for each company and for the group as a whole.</w:t>
            </w:r>
          </w:p>
        </w:tc>
      </w:tr>
    </w:tbl>
    <w:p>
      <w:pPr>
        <w:spacing w:after="60"/>
      </w:pPr>
      <w:r>
        <w:rPr>
          <w:rFonts w:ascii="Calibri" w:cs="Calibri" w:eastAsia="Calibri" w:hAnsi="Calibri"/>
          <w:b w:val="false"/>
          <w:bCs w:val="false"/>
          <w:i w:val="false"/>
          <w:iCs w:val="false"/>
          <w:caps w:val="false"/>
          <w:color w:val="222222"/>
          <w:sz w:val="21"/>
          <w:szCs w:val="21"/>
        </w:rPr>
        <w:t xml:space="preserve"/>
      </w:r>
    </w:p>
    <w:tbl>
      <w:tblPr>
        <w:tblW w:type="dxa" w:w="9360"/>
        <w:tblBorders>
          <w:top w:val="single" w:color="2E8C8C" w:sz="4"/>
          <w:left w:val="single" w:color="2E8C8C" w:sz="30"/>
          <w:bottom w:val="single" w:color="2E8C8C" w:sz="4"/>
          <w:right w:val="single" w:color="2E8C8C" w:sz="4"/>
          <w:insideH w:val="none"/>
          <w:insideV w:val="none"/>
        </w:tblBorders>
      </w:tblPr>
      <w:tblGrid>
        <w:gridCol w:w="9360"/>
      </w:tblGrid>
      <w:tr>
        <w:tc>
          <w:tcPr>
            <w:tcW w:type="dxa" w:w="9360"/>
            <w:shd w:fill="F2FAFA" w:color="auto" w:val="clear"/>
            <w:tcMar>
              <w:top w:type="dxa" w:w="60"/>
              <w:left w:type="dxa" w:w="110"/>
              <w:bottom w:type="dxa" w:w="60"/>
              <w:right w:type="dxa" w:w="110"/>
            </w:tcMar>
            <w:vAlign w:val="center"/>
          </w:tcPr>
          <w:p>
            <w:pPr>
              <w:spacing w:after="40"/>
            </w:pPr>
            <w:r>
              <w:rPr>
                <w:rFonts w:ascii="Calibri" w:cs="Calibri" w:eastAsia="Calibri" w:hAnsi="Calibri"/>
                <w:b/>
                <w:bCs/>
                <w:i w:val="false"/>
                <w:iCs w:val="false"/>
                <w:caps/>
                <w:color w:val="2E8C8C"/>
                <w:sz w:val="20"/>
                <w:szCs w:val="20"/>
              </w:rPr>
              <w:t xml:space="preserve">Approved baseline</w:t>
            </w:r>
          </w:p>
          <w:p>
            <w:pPr>
              <w:spacing w:after="0"/>
            </w:pPr>
            <w:r>
              <w:rPr>
                <w:rFonts w:ascii="Calibri" w:cs="Calibri" w:eastAsia="Calibri" w:hAnsi="Calibri"/>
                <w:b w:val="false"/>
                <w:bCs w:val="false"/>
                <w:i w:val="false"/>
                <w:iCs w:val="false"/>
                <w:caps w:val="false"/>
                <w:color w:val="2B2B2B"/>
                <w:sz w:val="20"/>
                <w:szCs w:val="20"/>
              </w:rPr>
              <w:t xml:space="preserve">This Business Requirements Document has been reviewed and approved by the White &amp; Bright Group and is now locked as the baseline for development. It is the agreed reference for the Functional Specification and the phased build. Any change from this point is handled through formal change control. The Change History in Document Control records how the document evolved through v1.0–v1.2.</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2.  Business Objectives &amp; Goals</w:t>
      </w:r>
    </w:p>
    <w:p>
      <w:pPr>
        <w:spacing w:after="140" w:before="0" w:line="276"/>
      </w:pPr>
      <w:r>
        <w:rPr>
          <w:rFonts w:ascii="Calibri" w:cs="Calibri" w:eastAsia="Calibri" w:hAnsi="Calibri"/>
          <w:b w:val="false"/>
          <w:bCs w:val="false"/>
          <w:i w:val="false"/>
          <w:iCs w:val="false"/>
          <w:caps w:val="false"/>
          <w:color w:val="2B2B2B"/>
          <w:sz w:val="21"/>
          <w:szCs w:val="21"/>
        </w:rPr>
        <w:t xml:space="preserve">The ERP investment is expected to deliver the following measurable business outcomes: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900"/>
        <w:gridCol w:w="6460"/>
      </w:tblGrid>
      <w:tr>
        <w:tc>
          <w:tcPr>
            <w:tcW w:type="dxa" w:w="2900"/>
            <w:shd w:fill="EAF1F8"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20"/>
                <w:szCs w:val="20"/>
              </w:rPr>
              <w:t xml:space="preserve">One system for the whole group</w:t>
            </w:r>
          </w:p>
        </w:tc>
        <w:tc>
          <w:tcPr>
            <w:tcW w:type="dxa" w:w="64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Run all group companies on one platform, with each company's own books and a consolidated group view.</w:t>
            </w:r>
          </w:p>
        </w:tc>
      </w:tr>
      <w:tr>
        <w:tc>
          <w:tcPr>
            <w:tcW w:type="dxa" w:w="2900"/>
            <w:shd w:fill="EAF1F8"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20"/>
                <w:szCs w:val="20"/>
              </w:rPr>
              <w:t xml:space="preserve">Share resources across companies</w:t>
            </w:r>
          </w:p>
        </w:tc>
        <w:tc>
          <w:tcPr>
            <w:tcW w:type="dxa" w:w="64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Outsource manpower, tools and materials between group companies, with automatic inter-company charging.</w:t>
            </w:r>
          </w:p>
        </w:tc>
      </w:tr>
      <w:tr>
        <w:tc>
          <w:tcPr>
            <w:tcW w:type="dxa" w:w="2900"/>
            <w:shd w:fill="EAF1F8"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20"/>
                <w:szCs w:val="20"/>
              </w:rPr>
              <w:t xml:space="preserve">Single source of truth</w:t>
            </w:r>
          </w:p>
        </w:tc>
        <w:tc>
          <w:tcPr>
            <w:tcW w:type="dxa" w:w="64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Replace disconnected spreadsheets with one integrated database shared across all departments.</w:t>
            </w:r>
          </w:p>
        </w:tc>
      </w:tr>
      <w:tr>
        <w:tc>
          <w:tcPr>
            <w:tcW w:type="dxa" w:w="2900"/>
            <w:shd w:fill="EAF1F8"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20"/>
                <w:szCs w:val="20"/>
              </w:rPr>
              <w:t xml:space="preserve">Faster quotation turnaround</w:t>
            </w:r>
          </w:p>
        </w:tc>
        <w:tc>
          <w:tcPr>
            <w:tcW w:type="dxa" w:w="64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Standardise estimation and approvals so quotations reach customers faster and more accurately.</w:t>
            </w:r>
          </w:p>
        </w:tc>
      </w:tr>
      <w:tr>
        <w:tc>
          <w:tcPr>
            <w:tcW w:type="dxa" w:w="2900"/>
            <w:shd w:fill="EAF1F8"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20"/>
                <w:szCs w:val="20"/>
              </w:rPr>
              <w:t xml:space="preserve">Cost &amp; margin control</w:t>
            </w:r>
          </w:p>
        </w:tc>
        <w:tc>
          <w:tcPr>
            <w:tcW w:type="dxa" w:w="64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Track actual project cost against estimate in real time and protect planned margins.</w:t>
            </w:r>
          </w:p>
        </w:tc>
      </w:tr>
      <w:tr>
        <w:tc>
          <w:tcPr>
            <w:tcW w:type="dxa" w:w="2900"/>
            <w:shd w:fill="EAF1F8"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20"/>
                <w:szCs w:val="20"/>
              </w:rPr>
              <w:t xml:space="preserve">Zero stock &amp; calibration surprises</w:t>
            </w:r>
          </w:p>
        </w:tc>
        <w:tc>
          <w:tcPr>
            <w:tcW w:type="dxa" w:w="64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Automatic reorder alerts and calibration-expiry locks to keep sites productive and compliant.</w:t>
            </w:r>
          </w:p>
        </w:tc>
      </w:tr>
      <w:tr>
        <w:tc>
          <w:tcPr>
            <w:tcW w:type="dxa" w:w="2900"/>
            <w:shd w:fill="EAF1F8"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20"/>
                <w:szCs w:val="20"/>
              </w:rPr>
              <w:t xml:space="preserve">Compliance by design</w:t>
            </w:r>
          </w:p>
        </w:tc>
        <w:tc>
          <w:tcPr>
            <w:tcW w:type="dxa" w:w="64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Never miss an expiring certification, visa, calibration or statutory HSE obligation.</w:t>
            </w:r>
          </w:p>
        </w:tc>
      </w:tr>
      <w:tr>
        <w:tc>
          <w:tcPr>
            <w:tcW w:type="dxa" w:w="2900"/>
            <w:shd w:fill="EAF1F8"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20"/>
                <w:szCs w:val="20"/>
              </w:rPr>
              <w:t xml:space="preserve">Real-time management visibility</w:t>
            </w:r>
          </w:p>
        </w:tc>
        <w:tc>
          <w:tcPr>
            <w:tcW w:type="dxa" w:w="64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Live dashboards on project profitability, cash flow, stock and safety for directors.</w:t>
            </w:r>
          </w:p>
        </w:tc>
      </w:tr>
      <w:tr>
        <w:tc>
          <w:tcPr>
            <w:tcW w:type="dxa" w:w="2900"/>
            <w:shd w:fill="EAF1F8"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20"/>
                <w:szCs w:val="20"/>
              </w:rPr>
              <w:t xml:space="preserve">Governed approvals</w:t>
            </w:r>
          </w:p>
        </w:tc>
        <w:tc>
          <w:tcPr>
            <w:tcW w:type="dxa" w:w="64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Digital, auditable approval workflows at every level, accessible from anywhere.</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3.  Project Scope</w:t>
      </w:r>
    </w:p>
    <w:p>
      <w:pPr>
        <w:pStyle w:val="Heading2"/>
        <w:spacing w:after="100" w:before="260"/>
      </w:pPr>
      <w:r>
        <w:rPr>
          <w:rFonts w:ascii="Calibri" w:cs="Calibri" w:eastAsia="Calibri" w:hAnsi="Calibri"/>
          <w:b/>
          <w:bCs/>
          <w:i w:val="false"/>
          <w:iCs w:val="false"/>
          <w:caps w:val="false"/>
          <w:color w:val="2F6FB2"/>
          <w:sz w:val="24"/>
          <w:szCs w:val="24"/>
        </w:rPr>
        <w:t xml:space="preserve">3.1  In Scope</w:t>
      </w:r>
    </w:p>
    <w:p>
      <w:pPr>
        <w:spacing w:after="140" w:before="0" w:line="276"/>
      </w:pPr>
      <w:r>
        <w:rPr>
          <w:rFonts w:ascii="Calibri" w:cs="Calibri" w:eastAsia="Calibri" w:hAnsi="Calibri"/>
          <w:b w:val="false"/>
          <w:bCs w:val="false"/>
          <w:i w:val="false"/>
          <w:iCs w:val="false"/>
          <w:caps w:val="false"/>
          <w:color w:val="2B2B2B"/>
          <w:sz w:val="21"/>
          <w:szCs w:val="21"/>
        </w:rPr>
        <w:t xml:space="preserve">The following business functions are included in this ERP programme:</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Multi-Company &amp; Group Management, including multi-company login, inter-company resource sharing/outsourcing, and multi-company accounting, costing and consolidation</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Inventory Management &amp; Supply Chain (SCM), including vendor management, calibration and tool control</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Human Resources &amp; Admin, including attendance, payroll, recruitment, visas, certifications and internal job/task assignments</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CRM — Sales, Marketing and Cost Estimation, including BOQ / takeoff and quotation workflow</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Project Management, including fabrication &amp; erection tracking, resources and subcontractors</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Health, Safety &amp; Environment (HSE), including permits, incidents, inspections and training</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Finance &amp; Accounting, including project costing, WIP, revenue recognition and reporting</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Cross-module capabilities: role-based access, approvals, alerts, document management and reporting</w:t>
      </w:r>
    </w:p>
    <w:p>
      <w:pPr>
        <w:pStyle w:val="Heading2"/>
        <w:spacing w:after="100" w:before="260"/>
      </w:pPr>
      <w:r>
        <w:rPr>
          <w:rFonts w:ascii="Calibri" w:cs="Calibri" w:eastAsia="Calibri" w:hAnsi="Calibri"/>
          <w:b/>
          <w:bCs/>
          <w:i w:val="false"/>
          <w:iCs w:val="false"/>
          <w:caps w:val="false"/>
          <w:color w:val="2F6FB2"/>
          <w:sz w:val="24"/>
          <w:szCs w:val="24"/>
        </w:rPr>
        <w:t xml:space="preserve">3.2  Out of Scope (for this phase)</w:t>
      </w:r>
    </w:p>
    <w:p>
      <w:pPr>
        <w:spacing w:after="140" w:before="0" w:line="276"/>
      </w:pPr>
      <w:r>
        <w:rPr>
          <w:rFonts w:ascii="Calibri" w:cs="Calibri" w:eastAsia="Calibri" w:hAnsi="Calibri"/>
          <w:b w:val="false"/>
          <w:bCs w:val="false"/>
          <w:i w:val="false"/>
          <w:iCs w:val="false"/>
          <w:caps w:val="false"/>
          <w:color w:val="2B2B2B"/>
          <w:sz w:val="21"/>
          <w:szCs w:val="21"/>
        </w:rPr>
        <w:t xml:space="preserve">To keep the initial delivery focused and achievable, the following are explicitly excluded from the first release and may be considered in later phases:</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Detailed engineering / CAD design and drawing production (the ERP will store and reference drawings, not create them)</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Advanced manufacturing shop-floor machine automation (IoT / SCADA integration)</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Statutory payroll filing for jurisdictions outside the company's current operating countries</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Replacement of specialised NDT / testing laboratory instruments (results will be recorded, not generated)</w:t>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4.  Stakeholders &amp; User Roles</w:t>
      </w:r>
    </w:p>
    <w:p>
      <w:pPr>
        <w:spacing w:after="140" w:before="0" w:line="276"/>
      </w:pPr>
      <w:r>
        <w:rPr>
          <w:rFonts w:ascii="Calibri" w:cs="Calibri" w:eastAsia="Calibri" w:hAnsi="Calibri"/>
          <w:b w:val="false"/>
          <w:bCs w:val="false"/>
          <w:i w:val="false"/>
          <w:iCs w:val="false"/>
          <w:caps w:val="false"/>
          <w:color w:val="2B2B2B"/>
          <w:sz w:val="21"/>
          <w:szCs w:val="21"/>
        </w:rPr>
        <w:t xml:space="preserve">The system will serve the following primary user groups. Each role sees only the information and actions relevant to their responsibilities.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600"/>
        <w:gridCol w:w="5760"/>
      </w:tblGrid>
      <w:tr>
        <w:trPr>
          <w:tblHeader/>
        </w:trPr>
        <w:tc>
          <w:tcPr>
            <w:tcW w:type="dxa" w:w="36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User Role</w:t>
            </w:r>
          </w:p>
        </w:tc>
        <w:tc>
          <w:tcPr>
            <w:tcW w:type="dxa" w:w="57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Primary Use of the System</w:t>
            </w:r>
          </w:p>
        </w:tc>
      </w:tr>
      <w:tr>
        <w:tc>
          <w:tcPr>
            <w:tcW w:type="dxa" w:w="3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Directors / Management</w:t>
            </w:r>
          </w:p>
        </w:tc>
        <w:tc>
          <w:tcPr>
            <w:tcW w:type="dxa" w:w="5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Approvals, dashboards, profitability and cash-flow visibility</w:t>
            </w:r>
          </w:p>
        </w:tc>
      </w:tr>
      <w:tr>
        <w:tc>
          <w:tcPr>
            <w:tcW w:type="dxa" w:w="3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Estimation / Sales Engineer</w:t>
            </w:r>
          </w:p>
        </w:tc>
        <w:tc>
          <w:tcPr>
            <w:tcW w:type="dxa" w:w="5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Leads, site visits, BOQ, quotations and revisions</w:t>
            </w:r>
          </w:p>
        </w:tc>
      </w:tr>
      <w:tr>
        <w:tc>
          <w:tcPr>
            <w:tcW w:type="dxa" w:w="3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Project Manager</w:t>
            </w:r>
          </w:p>
        </w:tc>
        <w:tc>
          <w:tcPr>
            <w:tcW w:type="dxa" w:w="5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Project setup, schedules, resources, cost and progress tracking</w:t>
            </w:r>
          </w:p>
        </w:tc>
      </w:tr>
      <w:tr>
        <w:tc>
          <w:tcPr>
            <w:tcW w:type="dxa" w:w="3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Site Engineer / Planner</w:t>
            </w:r>
          </w:p>
        </w:tc>
        <w:tc>
          <w:tcPr>
            <w:tcW w:type="dxa" w:w="5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Material requests, progress updates, manpower and tools</w:t>
            </w:r>
          </w:p>
        </w:tc>
      </w:tr>
      <w:tr>
        <w:tc>
          <w:tcPr>
            <w:tcW w:type="dxa" w:w="3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Procurement Officer</w:t>
            </w:r>
          </w:p>
        </w:tc>
        <w:tc>
          <w:tcPr>
            <w:tcW w:type="dxa" w:w="5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RFQ, vendor comparison, purchase orders and follow-up</w:t>
            </w:r>
          </w:p>
        </w:tc>
      </w:tr>
      <w:tr>
        <w:tc>
          <w:tcPr>
            <w:tcW w:type="dxa" w:w="3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Storekeeper</w:t>
            </w:r>
          </w:p>
        </w:tc>
        <w:tc>
          <w:tcPr>
            <w:tcW w:type="dxa" w:w="5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Goods receipt (GRN), issues, returns, racks and stock counts</w:t>
            </w:r>
          </w:p>
        </w:tc>
      </w:tr>
      <w:tr>
        <w:tc>
          <w:tcPr>
            <w:tcW w:type="dxa" w:w="3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QA/QC &amp; Calibration</w:t>
            </w:r>
          </w:p>
        </w:tc>
        <w:tc>
          <w:tcPr>
            <w:tcW w:type="dxa" w:w="5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Inspection, calibration scheduling and status control</w:t>
            </w:r>
          </w:p>
        </w:tc>
      </w:tr>
      <w:tr>
        <w:tc>
          <w:tcPr>
            <w:tcW w:type="dxa" w:w="3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HSE Officer</w:t>
            </w:r>
          </w:p>
        </w:tc>
        <w:tc>
          <w:tcPr>
            <w:tcW w:type="dxa" w:w="5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Permits, incidents, inspections, audits and training records</w:t>
            </w:r>
          </w:p>
        </w:tc>
      </w:tr>
      <w:tr>
        <w:tc>
          <w:tcPr>
            <w:tcW w:type="dxa" w:w="3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HR Officer</w:t>
            </w:r>
          </w:p>
        </w:tc>
        <w:tc>
          <w:tcPr>
            <w:tcW w:type="dxa" w:w="5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Employees, attendance, leave, payroll, visas and certifications</w:t>
            </w:r>
          </w:p>
        </w:tc>
      </w:tr>
      <w:tr>
        <w:tc>
          <w:tcPr>
            <w:tcW w:type="dxa" w:w="3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Finance / Accounts</w:t>
            </w:r>
          </w:p>
        </w:tc>
        <w:tc>
          <w:tcPr>
            <w:tcW w:type="dxa" w:w="5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Costing, invoices, retention, WIP and financial reporting</w:t>
            </w:r>
          </w:p>
        </w:tc>
      </w:tr>
      <w:tr>
        <w:tc>
          <w:tcPr>
            <w:tcW w:type="dxa" w:w="3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Vendor (external)</w:t>
            </w:r>
          </w:p>
        </w:tc>
        <w:tc>
          <w:tcPr>
            <w:tcW w:type="dxa" w:w="5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Self-registration, RFQ response and order tracking</w:t>
            </w:r>
          </w:p>
        </w:tc>
      </w:tr>
      <w:tr>
        <w:tc>
          <w:tcPr>
            <w:tcW w:type="dxa" w:w="3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Customer (external)</w:t>
            </w:r>
          </w:p>
        </w:tc>
        <w:tc>
          <w:tcPr>
            <w:tcW w:type="dxa" w:w="5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Enquiry submission, quotation and status visibility</w:t>
            </w:r>
          </w:p>
        </w:tc>
      </w:tr>
    </w:tbl>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5.  End-to-End Business Process</w:t>
      </w:r>
    </w:p>
    <w:p>
      <w:pPr>
        <w:spacing w:after="140" w:before="0" w:line="276"/>
      </w:pPr>
      <w:r>
        <w:rPr>
          <w:rFonts w:ascii="Calibri" w:cs="Calibri" w:eastAsia="Calibri" w:hAnsi="Calibri"/>
          <w:b w:val="false"/>
          <w:bCs w:val="false"/>
          <w:i w:val="false"/>
          <w:iCs w:val="false"/>
          <w:caps w:val="false"/>
          <w:color w:val="2B2B2B"/>
          <w:sz w:val="21"/>
          <w:szCs w:val="21"/>
        </w:rPr>
        <w:t xml:space="preserve">The value of an integrated ERP is that information flows automatically from one department to the next. The diagram below describes, in business terms, how a single job travels through the organisation on one platform:</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5560"/>
        <w:gridCol w:w="2300"/>
      </w:tblGrid>
      <w:tr>
        <w:trPr>
          <w:tblHeader/>
        </w:trPr>
        <w:tc>
          <w:tcPr>
            <w:tcW w:type="dxa" w:w="15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Stage</w:t>
            </w:r>
          </w:p>
        </w:tc>
        <w:tc>
          <w:tcPr>
            <w:tcW w:type="dxa" w:w="55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What happens</w:t>
            </w:r>
          </w:p>
        </w:tc>
        <w:tc>
          <w:tcPr>
            <w:tcW w:type="dxa" w:w="23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Owning module</w:t>
            </w:r>
          </w:p>
        </w:tc>
      </w:tr>
      <w:tr>
        <w:tc>
          <w:tcPr>
            <w:tcW w:type="dxa" w:w="15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1. Enquiry</w:t>
            </w:r>
          </w:p>
        </w:tc>
        <w:tc>
          <w:tcPr>
            <w:tcW w:type="dxa" w:w="55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Customer enquiry captured as a lead; site visit and BOQ prepared</w:t>
            </w:r>
          </w:p>
        </w:tc>
        <w:tc>
          <w:tcPr>
            <w:tcW w:type="dxa" w:w="23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CRM / Estimation</w:t>
            </w:r>
          </w:p>
        </w:tc>
      </w:tr>
      <w:tr>
        <w:tc>
          <w:tcPr>
            <w:tcW w:type="dxa" w:w="15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2. Quotation</w:t>
            </w:r>
          </w:p>
        </w:tc>
        <w:tc>
          <w:tcPr>
            <w:tcW w:type="dxa" w:w="55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Costed quotation approved internally and issued to the customer</w:t>
            </w:r>
          </w:p>
        </w:tc>
        <w:tc>
          <w:tcPr>
            <w:tcW w:type="dxa" w:w="23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CRM / Estimation</w:t>
            </w:r>
          </w:p>
        </w:tc>
      </w:tr>
      <w:tr>
        <w:tc>
          <w:tcPr>
            <w:tcW w:type="dxa" w:w="15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3. Award</w:t>
            </w:r>
          </w:p>
        </w:tc>
        <w:tc>
          <w:tcPr>
            <w:tcW w:type="dxa" w:w="55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Customer PO received; project created with budget and schedule</w:t>
            </w:r>
          </w:p>
        </w:tc>
        <w:tc>
          <w:tcPr>
            <w:tcW w:type="dxa" w:w="23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Projects + Finance</w:t>
            </w:r>
          </w:p>
        </w:tc>
      </w:tr>
      <w:tr>
        <w:tc>
          <w:tcPr>
            <w:tcW w:type="dxa" w:w="15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4. Plan</w:t>
            </w:r>
          </w:p>
        </w:tc>
        <w:tc>
          <w:tcPr>
            <w:tcW w:type="dxa" w:w="55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Materials, manpower, tools and subcontractors planned and requested</w:t>
            </w:r>
          </w:p>
        </w:tc>
        <w:tc>
          <w:tcPr>
            <w:tcW w:type="dxa" w:w="23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Projects + Inventory + HR</w:t>
            </w:r>
          </w:p>
        </w:tc>
      </w:tr>
      <w:tr>
        <w:tc>
          <w:tcPr>
            <w:tcW w:type="dxa" w:w="15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5. Procure</w:t>
            </w:r>
          </w:p>
        </w:tc>
        <w:tc>
          <w:tcPr>
            <w:tcW w:type="dxa" w:w="55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Material requests approved, vendors compared, POs raised and received</w:t>
            </w:r>
          </w:p>
        </w:tc>
        <w:tc>
          <w:tcPr>
            <w:tcW w:type="dxa" w:w="23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Inventory / SCM</w:t>
            </w:r>
          </w:p>
        </w:tc>
      </w:tr>
      <w:tr>
        <w:tc>
          <w:tcPr>
            <w:tcW w:type="dxa" w:w="15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6. Execute</w:t>
            </w:r>
          </w:p>
        </w:tc>
        <w:tc>
          <w:tcPr>
            <w:tcW w:type="dxa" w:w="55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Fabrication &amp; erection tracked; permits and safety managed on site</w:t>
            </w:r>
          </w:p>
        </w:tc>
        <w:tc>
          <w:tcPr>
            <w:tcW w:type="dxa" w:w="23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Projects + HSE</w:t>
            </w:r>
          </w:p>
        </w:tc>
      </w:tr>
      <w:tr>
        <w:tc>
          <w:tcPr>
            <w:tcW w:type="dxa" w:w="15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7. Cost &amp; bill</w:t>
            </w:r>
          </w:p>
        </w:tc>
        <w:tc>
          <w:tcPr>
            <w:tcW w:type="dxa" w:w="55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Actual cost captured, progress invoiced, retention and WIP managed</w:t>
            </w:r>
          </w:p>
        </w:tc>
        <w:tc>
          <w:tcPr>
            <w:tcW w:type="dxa" w:w="23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Finance</w:t>
            </w:r>
          </w:p>
        </w:tc>
      </w:tr>
      <w:tr>
        <w:tc>
          <w:tcPr>
            <w:tcW w:type="dxa" w:w="15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8. Report</w:t>
            </w:r>
          </w:p>
        </w:tc>
        <w:tc>
          <w:tcPr>
            <w:tcW w:type="dxa" w:w="55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Live profitability, cash flow, stock and compliance visible to management</w:t>
            </w:r>
          </w:p>
        </w:tc>
        <w:tc>
          <w:tcPr>
            <w:tcW w:type="dxa" w:w="23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All modules</w:t>
            </w:r>
          </w:p>
        </w:tc>
      </w:tr>
    </w:tbl>
    <w:p>
      <w:pPr>
        <w:spacing w:after="60"/>
      </w:pPr>
      <w:r>
        <w:rPr>
          <w:rFonts w:ascii="Calibri" w:cs="Calibri" w:eastAsia="Calibri" w:hAnsi="Calibri"/>
          <w:b w:val="false"/>
          <w:bCs w:val="false"/>
          <w:i w:val="false"/>
          <w:iCs w:val="false"/>
          <w:caps w:val="false"/>
          <w:color w:val="222222"/>
          <w:sz w:val="21"/>
          <w:szCs w:val="21"/>
        </w:rPr>
        <w:t xml:space="preserve"/>
      </w:r>
    </w:p>
    <w:tbl>
      <w:tblPr>
        <w:tblW w:type="dxa" w:w="9360"/>
        <w:tblBorders>
          <w:top w:val="single" w:color="2E8C8C" w:sz="4"/>
          <w:left w:val="single" w:color="2E8C8C" w:sz="30"/>
          <w:bottom w:val="single" w:color="2E8C8C" w:sz="4"/>
          <w:right w:val="single" w:color="2E8C8C" w:sz="4"/>
          <w:insideH w:val="none"/>
          <w:insideV w:val="none"/>
        </w:tblBorders>
      </w:tblPr>
      <w:tblGrid>
        <w:gridCol w:w="9360"/>
      </w:tblGrid>
      <w:tr>
        <w:tc>
          <w:tcPr>
            <w:tcW w:type="dxa" w:w="9360"/>
            <w:shd w:fill="F2FAFA" w:color="auto" w:val="clear"/>
            <w:tcMar>
              <w:top w:type="dxa" w:w="60"/>
              <w:left w:type="dxa" w:w="110"/>
              <w:bottom w:type="dxa" w:w="60"/>
              <w:right w:type="dxa" w:w="110"/>
            </w:tcMar>
            <w:vAlign w:val="center"/>
          </w:tcPr>
          <w:p>
            <w:pPr>
              <w:spacing w:after="40"/>
            </w:pPr>
            <w:r>
              <w:rPr>
                <w:rFonts w:ascii="Calibri" w:cs="Calibri" w:eastAsia="Calibri" w:hAnsi="Calibri"/>
                <w:b/>
                <w:bCs/>
                <w:i w:val="false"/>
                <w:iCs w:val="false"/>
                <w:caps/>
                <w:color w:val="2E8C8C"/>
                <w:sz w:val="20"/>
                <w:szCs w:val="20"/>
              </w:rPr>
              <w:t xml:space="preserve">Why integration matters</w:t>
            </w:r>
          </w:p>
          <w:p>
            <w:pPr>
              <w:spacing w:after="0"/>
            </w:pPr>
            <w:r>
              <w:rPr>
                <w:rFonts w:ascii="Calibri" w:cs="Calibri" w:eastAsia="Calibri" w:hAnsi="Calibri"/>
                <w:b w:val="false"/>
                <w:bCs w:val="false"/>
                <w:i w:val="false"/>
                <w:iCs w:val="false"/>
                <w:caps w:val="false"/>
                <w:color w:val="2B2B2B"/>
                <w:sz w:val="20"/>
                <w:szCs w:val="20"/>
              </w:rPr>
              <w:t xml:space="preserve">Because each stage feeds the next automatically, the estimate becomes the budget, the budget controls purchasing, purchasing updates stock and cost, and cost drives invoicing and profit — with no re-keying and no reconciliation between spreadsheets.</w:t>
            </w:r>
          </w:p>
        </w:tc>
      </w:tr>
    </w:tbl>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6.  Functional Requirements by Module</w:t>
      </w:r>
    </w:p>
    <w:p>
      <w:pPr>
        <w:spacing w:after="160" w:before="0" w:line="276"/>
      </w:pPr>
      <w:r>
        <w:rPr>
          <w:rFonts w:ascii="Calibri" w:cs="Calibri" w:eastAsia="Calibri" w:hAnsi="Calibri"/>
          <w:b w:val="false"/>
          <w:bCs w:val="false"/>
          <w:i w:val="false"/>
          <w:iCs w:val="false"/>
          <w:caps w:val="false"/>
          <w:color w:val="2B2B2B"/>
          <w:sz w:val="21"/>
          <w:szCs w:val="21"/>
        </w:rPr>
        <w:t xml:space="preserve">This section details what each module of the ERP must do. Requirements are grouped by business function and each is uniquely referenced and prioritised.</w:t>
      </w:r>
    </w:p>
    <w:p>
      <w:pPr>
        <w:pStyle w:val="Heading2"/>
        <w:spacing w:after="100" w:before="260"/>
      </w:pPr>
      <w:r>
        <w:rPr>
          <w:rFonts w:ascii="Calibri" w:cs="Calibri" w:eastAsia="Calibri" w:hAnsi="Calibri"/>
          <w:b/>
          <w:bCs/>
          <w:i w:val="false"/>
          <w:iCs w:val="false"/>
          <w:caps w:val="false"/>
          <w:color w:val="2F6FB2"/>
          <w:sz w:val="24"/>
          <w:szCs w:val="24"/>
        </w:rPr>
        <w:t xml:space="preserve">6.1  Multi-Company &amp; Group Management</w:t>
      </w:r>
    </w:p>
    <w:p>
      <w:pPr>
        <w:spacing w:after="140" w:before="0" w:line="276"/>
      </w:pPr>
      <w:r>
        <w:rPr>
          <w:rFonts w:ascii="Calibri" w:cs="Calibri" w:eastAsia="Calibri" w:hAnsi="Calibri"/>
          <w:b w:val="false"/>
          <w:bCs w:val="false"/>
          <w:i w:val="false"/>
          <w:iCs w:val="false"/>
          <w:caps w:val="false"/>
          <w:color w:val="2B2B2B"/>
          <w:sz w:val="21"/>
          <w:szCs w:val="21"/>
        </w:rPr>
        <w:t xml:space="preserve">The ERP serves the whole group — WB Engineering, WB Technical Services, Voice Technical Services and any further group entities — on one platform. Each company keeps its own books, master data and document numbering, while the group shares resources between companies and reports on both a per-company and a consolidated basis.</w:t>
      </w:r>
    </w:p>
    <w:p>
      <w:pPr>
        <w:pStyle w:val="Heading3"/>
        <w:spacing w:after="80" w:before="180"/>
      </w:pPr>
      <w:r>
        <w:rPr>
          <w:rFonts w:ascii="Calibri" w:cs="Calibri" w:eastAsia="Calibri" w:hAnsi="Calibri"/>
          <w:b/>
          <w:bCs/>
          <w:i w:val="false"/>
          <w:iCs w:val="false"/>
          <w:caps w:val="false"/>
          <w:color w:val="2E8C8C"/>
          <w:sz w:val="21"/>
          <w:szCs w:val="21"/>
        </w:rPr>
        <w:t xml:space="preserve">Group Structure &amp; Multi-Company Login</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GRP-01</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Configure multiple legal companies (WB Engineering, WB Technical Services, Voice Technical Services and further group entities) under one ERP, each with its own master data, document numbering and books of account.</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GRP-02</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Multi-company login: a user signs in once and switches between the companies they are authorised for; access, data and approvals are controlled per company.</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GRP-03</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Group-wide master data (shared vendors, items, employees) maintained centrally, while transactions remain company-specific.</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pPr>
        <w:pStyle w:val="Heading3"/>
        <w:spacing w:after="80" w:before="180"/>
      </w:pPr>
      <w:r>
        <w:rPr>
          <w:rFonts w:ascii="Calibri" w:cs="Calibri" w:eastAsia="Calibri" w:hAnsi="Calibri"/>
          <w:b/>
          <w:bCs/>
          <w:i w:val="false"/>
          <w:iCs w:val="false"/>
          <w:caps w:val="false"/>
          <w:color w:val="2E8C8C"/>
          <w:sz w:val="21"/>
          <w:szCs w:val="21"/>
        </w:rPr>
        <w:t xml:space="preserve">Inter-Company Resource Sharing / Outsourcing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GRP-04</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Outsource / share resources — manpower, tools, equipment and materials — from one group company to another, with the movement recorded against the receiving company and project.</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GRP-05</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Inter-company charge-out: a shared resource is automatically billed from the providing company to the receiving company, creating matching entries in both companies.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GRP-06</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Time and cost of a shared/outsourced resource attributed to the correct company and Project ID.</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pPr>
        <w:pStyle w:val="Heading3"/>
        <w:spacing w:after="80" w:before="180"/>
      </w:pPr>
      <w:r>
        <w:rPr>
          <w:rFonts w:ascii="Calibri" w:cs="Calibri" w:eastAsia="Calibri" w:hAnsi="Calibri"/>
          <w:b/>
          <w:bCs/>
          <w:i w:val="false"/>
          <w:iCs w:val="false"/>
          <w:caps w:val="false"/>
          <w:color w:val="2E8C8C"/>
          <w:sz w:val="21"/>
          <w:szCs w:val="21"/>
        </w:rPr>
        <w:t xml:space="preserve">Multi-Company Accounting, Costing &amp; Consolidation</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GRP-07</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Separate accounting and costing per company, each with its own general ledger, receivables and payables.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GRP-08</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Consolidated group-level financial and profitability reporting, with inter-company eliminations.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GRP-09</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Consolidated and per-company dashboards so directors can view the group as a whole or drill down by company.</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6.2  Inventory Management &amp; Supply Chain (SCM)</w:t>
      </w:r>
    </w:p>
    <w:p>
      <w:pPr>
        <w:spacing w:after="140" w:before="0" w:line="276"/>
      </w:pPr>
      <w:r>
        <w:rPr>
          <w:rFonts w:ascii="Calibri" w:cs="Calibri" w:eastAsia="Calibri" w:hAnsi="Calibri"/>
          <w:b w:val="false"/>
          <w:bCs w:val="false"/>
          <w:i w:val="false"/>
          <w:iCs w:val="false"/>
          <w:caps w:val="false"/>
          <w:color w:val="2B2B2B"/>
          <w:sz w:val="21"/>
          <w:szCs w:val="21"/>
        </w:rPr>
        <w:t xml:space="preserve">Manages the full material lifecycle — from identifying what a site needs, through purchasing and quality inspection, to storage, calibration, issue, return and reorder — across the main store, site stores and fabrication yard.</w:t>
      </w:r>
    </w:p>
    <w:p>
      <w:pPr>
        <w:pStyle w:val="Heading3"/>
        <w:spacing w:after="80" w:before="180"/>
      </w:pPr>
      <w:r>
        <w:rPr>
          <w:rFonts w:ascii="Calibri" w:cs="Calibri" w:eastAsia="Calibri" w:hAnsi="Calibri"/>
          <w:b/>
          <w:bCs/>
          <w:i w:val="false"/>
          <w:iCs w:val="false"/>
          <w:caps w:val="false"/>
          <w:color w:val="2E8C8C"/>
          <w:sz w:val="21"/>
          <w:szCs w:val="21"/>
        </w:rPr>
        <w:t xml:space="preserve">Material Request &amp; Approval</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INV-01</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Site engineers/planners raise a Material Request (MR) for erection or maintenance jobs, linked to the relevant project.</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INV-02</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System automatically checks current stock and flags shortages against the requested quantity.</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INV-03</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MR routed through configurable approval levels: Site In-Charge → Project Manager → Procurement.</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INV-04</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Approved MR triggers either a purchase action or an internal stock allocation.</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pPr>
        <w:pStyle w:val="Heading3"/>
        <w:spacing w:after="80" w:before="180"/>
      </w:pPr>
      <w:r>
        <w:rPr>
          <w:rFonts w:ascii="Calibri" w:cs="Calibri" w:eastAsia="Calibri" w:hAnsi="Calibri"/>
          <w:b/>
          <w:bCs/>
          <w:i w:val="false"/>
          <w:iCs w:val="false"/>
          <w:caps w:val="false"/>
          <w:color w:val="2E8C8C"/>
          <w:sz w:val="21"/>
          <w:szCs w:val="21"/>
        </w:rPr>
        <w:t xml:space="preserve">Procurement &amp; Purchase Orders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INV-05</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Convert approved MR into a Purchase Order (PO); support Request for Quotation (RFQ) to vendors.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INV-06</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Vendor selection guided by price, lead time and past performance, comparing a minimum of three vendors.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INV-07</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For repeat/continuous purchases, allow proceeding with a previously approved vendor without re-bidding.</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INV-08</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PO approval workflow: Project Manager → Operations Manager → Director → Managing Director, then release to vendor.</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INV-09</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Bidding comparison sheets and automated PO generation from the selected quotation.</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pPr>
        <w:pStyle w:val="Heading3"/>
        <w:spacing w:after="80" w:before="180"/>
      </w:pPr>
      <w:r>
        <w:rPr>
          <w:rFonts w:ascii="Calibri" w:cs="Calibri" w:eastAsia="Calibri" w:hAnsi="Calibri"/>
          <w:b/>
          <w:bCs/>
          <w:i w:val="false"/>
          <w:iCs w:val="false"/>
          <w:caps w:val="false"/>
          <w:color w:val="2E8C8C"/>
          <w:sz w:val="21"/>
          <w:szCs w:val="21"/>
        </w:rPr>
        <w:t xml:space="preserve">Goods Receipt, Inspection &amp; Calibration</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INV-10</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Storekeeper records a Goods Receipt Note (GRN) on delivery to store or site.</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INV-11</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QA/QC inspects for quality, quantity and compliance; accepted stock stored, rejected stock flagged for return.</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INV-12</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Identify tools requiring calibration, send/track them for calibration (third-party or at store) and record results.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INV-13</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Automatic lock/block on serialized equipment once its calibration expiry date passes.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pPr>
        <w:pStyle w:val="Heading3"/>
        <w:spacing w:after="80" w:before="180"/>
      </w:pPr>
      <w:r>
        <w:rPr>
          <w:rFonts w:ascii="Calibri" w:cs="Calibri" w:eastAsia="Calibri" w:hAnsi="Calibri"/>
          <w:b/>
          <w:bCs/>
          <w:i w:val="false"/>
          <w:iCs w:val="false"/>
          <w:caps w:val="false"/>
          <w:color w:val="2E8C8C"/>
          <w:sz w:val="21"/>
          <w:szCs w:val="21"/>
        </w:rPr>
        <w:t xml:space="preserve">Storage, Movement, Returns &amp; Reorder</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INV-14</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Structure physical areas into Plant/Site, Storage Locations and Zones; assign materials to bins/racks by type (mechanical, electrical, chemical, consumable).</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INV-15</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Track internal movements (bin transfers, status changes) and transfers from Main Store to Site Store without changing financial ownership.</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INV-16</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Process material returns via a Material Return Note (MRN) and flag stock as reusable or scrap.</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INV-17</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Monitor minimum stock and calibration status with automatic reorder alerts.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INV-18</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Support cycle counts and periodic physical stock audits.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INV-19</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Raise internal maintenance/refurbishment work orders to service, repair or replace power-tool parts.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pPr>
        <w:pStyle w:val="Heading3"/>
        <w:spacing w:after="80" w:before="180"/>
      </w:pPr>
      <w:r>
        <w:rPr>
          <w:rFonts w:ascii="Calibri" w:cs="Calibri" w:eastAsia="Calibri" w:hAnsi="Calibri"/>
          <w:b/>
          <w:bCs/>
          <w:i w:val="false"/>
          <w:iCs w:val="false"/>
          <w:caps w:val="false"/>
          <w:color w:val="2E8C8C"/>
          <w:sz w:val="21"/>
          <w:szCs w:val="21"/>
        </w:rPr>
        <w:t xml:space="preserve">Vendor Management (SRM)</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INV-20</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Vendor self-service registration with tax/legal compliance checks, banking verification and risk scorecards.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INV-21</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Automated vendor rating across On-Time-In-Full (OTIF) delivery, quality defect rate, price competitiveness and responsiveness.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INV-22</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Vendor portal for RFQ response and order tracking.</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6B7683"/>
                <w:sz w:val="19"/>
                <w:szCs w:val="19"/>
              </w:rPr>
              <w:t xml:space="preserve">Could</w:t>
            </w:r>
          </w:p>
        </w:tc>
      </w:tr>
    </w:tbl>
    <w:p>
      <w:pPr>
        <w:pStyle w:val="Heading3"/>
        <w:spacing w:after="80" w:before="180"/>
      </w:pPr>
      <w:r>
        <w:rPr>
          <w:rFonts w:ascii="Calibri" w:cs="Calibri" w:eastAsia="Calibri" w:hAnsi="Calibri"/>
          <w:b/>
          <w:bCs/>
          <w:i w:val="false"/>
          <w:iCs w:val="false"/>
          <w:caps w:val="false"/>
          <w:color w:val="2E8C8C"/>
          <w:sz w:val="21"/>
          <w:szCs w:val="21"/>
        </w:rPr>
        <w:t xml:space="preserve">Reporting</w:t>
      </w:r>
    </w:p>
    <w:p>
      <w:pPr>
        <w:spacing w:after="140" w:before="0" w:line="276"/>
      </w:pPr>
      <w:r>
        <w:rPr>
          <w:rFonts w:ascii="Calibri" w:cs="Calibri" w:eastAsia="Calibri" w:hAnsi="Calibri"/>
          <w:b w:val="false"/>
          <w:bCs w:val="false"/>
          <w:i/>
          <w:iCs/>
          <w:caps w:val="false"/>
          <w:color w:val="2B2B2B"/>
          <w:sz w:val="21"/>
          <w:szCs w:val="21"/>
        </w:rPr>
        <w:t xml:space="preserve">Daily stock reports, consumption per project, vendor performance, material ageing, scrap &amp; wastage analysis, and calibration status with alerts.</w:t>
      </w:r>
    </w:p>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6.3  Human Resources &amp; Admin (HR &amp; Admin)</w:t>
      </w:r>
    </w:p>
    <w:p>
      <w:pPr>
        <w:spacing w:after="140" w:before="0" w:line="276"/>
      </w:pPr>
      <w:r>
        <w:rPr>
          <w:rFonts w:ascii="Calibri" w:cs="Calibri" w:eastAsia="Calibri" w:hAnsi="Calibri"/>
          <w:b w:val="false"/>
          <w:bCs w:val="false"/>
          <w:i w:val="false"/>
          <w:iCs w:val="false"/>
          <w:caps w:val="false"/>
          <w:color w:val="2B2B2B"/>
          <w:sz w:val="21"/>
          <w:szCs w:val="21"/>
        </w:rPr>
        <w:t xml:space="preserve">Manages the complete employee lifecycle — from recruitment, visas and onboarding, through attendance, leave and payroll, to competency certification and performance — plus internal job/task assignments across departments (admin), with particular attention to project-based mobilisation and statutory compliance.</w:t>
      </w:r>
    </w:p>
    <w:p>
      <w:pPr>
        <w:pStyle w:val="Heading3"/>
        <w:spacing w:after="80" w:before="180"/>
      </w:pPr>
      <w:r>
        <w:rPr>
          <w:rFonts w:ascii="Calibri" w:cs="Calibri" w:eastAsia="Calibri" w:hAnsi="Calibri"/>
          <w:b/>
          <w:bCs/>
          <w:i w:val="false"/>
          <w:iCs w:val="false"/>
          <w:caps w:val="false"/>
          <w:color w:val="2E8C8C"/>
          <w:sz w:val="21"/>
          <w:szCs w:val="21"/>
        </w:rPr>
        <w:t xml:space="preserve">Core HR &amp; Master Data</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HR-01</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Digital employee profiles with organisational structure, job grading, asset assignment and document storage.</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pPr>
        <w:pStyle w:val="Heading3"/>
        <w:spacing w:after="80" w:before="180"/>
      </w:pPr>
      <w:r>
        <w:rPr>
          <w:rFonts w:ascii="Calibri" w:cs="Calibri" w:eastAsia="Calibri" w:hAnsi="Calibri"/>
          <w:b/>
          <w:bCs/>
          <w:i w:val="false"/>
          <w:iCs w:val="false"/>
          <w:caps w:val="false"/>
          <w:color w:val="2E8C8C"/>
          <w:sz w:val="21"/>
          <w:szCs w:val="21"/>
        </w:rPr>
        <w:t xml:space="preserve">Time, Attendance &amp; Leave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HR-02</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Biometric and mobile check-in/out with shift scheduling, rostering and overtime rules.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HR-03</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Leave request and approval workflows across all leave categories.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HR-04</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Leave categories: Annual/Earned, Sick/Medical, Statutory, Unpaid (LOP) and Compensatory Off (Comp-Off).</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HR-05</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Work-from-Home rules and eligibility with approvals.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6B7683"/>
                <w:sz w:val="19"/>
                <w:szCs w:val="19"/>
              </w:rPr>
              <w:t xml:space="preserve">Could</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HR-06</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Centralised leave allocation aligned to project dates so approvals respect project demand.</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pPr>
        <w:pStyle w:val="Heading3"/>
        <w:spacing w:after="80" w:before="180"/>
      </w:pPr>
      <w:r>
        <w:rPr>
          <w:rFonts w:ascii="Calibri" w:cs="Calibri" w:eastAsia="Calibri" w:hAnsi="Calibri"/>
          <w:b/>
          <w:bCs/>
          <w:i w:val="false"/>
          <w:iCs w:val="false"/>
          <w:caps w:val="false"/>
          <w:color w:val="2E8C8C"/>
          <w:sz w:val="21"/>
          <w:szCs w:val="21"/>
        </w:rPr>
        <w:t xml:space="preserve">Payroll</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HR-07</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Configurable salary structures with timesheet-based calculation, benefits and reimbursements.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HR-08</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Payslip generation and distribution.</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pPr>
        <w:pStyle w:val="Heading3"/>
        <w:spacing w:after="80" w:before="180"/>
      </w:pPr>
      <w:r>
        <w:rPr>
          <w:rFonts w:ascii="Calibri" w:cs="Calibri" w:eastAsia="Calibri" w:hAnsi="Calibri"/>
          <w:b/>
          <w:bCs/>
          <w:i w:val="false"/>
          <w:iCs w:val="false"/>
          <w:caps w:val="false"/>
          <w:color w:val="2E8C8C"/>
          <w:sz w:val="21"/>
          <w:szCs w:val="21"/>
        </w:rPr>
        <w:t xml:space="preserve">Recruitment, Onboarding &amp; Visas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HR-09</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Requisition approvals, interview scheduling and offer-letter generation.</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HR-10</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Visa processing with multi-level approvals, including project-based recruitment (Mission Visa).</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HR-11</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Automated onboarding checklists.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pPr>
        <w:pStyle w:val="Heading3"/>
        <w:spacing w:after="80" w:before="180"/>
      </w:pPr>
      <w:r>
        <w:rPr>
          <w:rFonts w:ascii="Calibri" w:cs="Calibri" w:eastAsia="Calibri" w:hAnsi="Calibri"/>
          <w:b/>
          <w:bCs/>
          <w:i w:val="false"/>
          <w:iCs w:val="false"/>
          <w:caps w:val="false"/>
          <w:color w:val="2E8C8C"/>
          <w:sz w:val="21"/>
          <w:szCs w:val="21"/>
        </w:rPr>
        <w:t xml:space="preserve">Certifications &amp; Performance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HR-12</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Arrange and record all competency certifications required for each job/trade.</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HR-13</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Track certification expiry dates with automatic alerts before lapse.</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HR-14</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Performance &amp; appraisal: KPI tracking, goal management, self-assessment, line-manager feedback and appraisal workflow.</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pPr>
        <w:pStyle w:val="Heading3"/>
        <w:spacing w:after="80" w:before="180"/>
      </w:pPr>
      <w:r>
        <w:rPr>
          <w:rFonts w:ascii="Calibri" w:cs="Calibri" w:eastAsia="Calibri" w:hAnsi="Calibri"/>
          <w:b/>
          <w:bCs/>
          <w:i w:val="false"/>
          <w:iCs w:val="false"/>
          <w:caps w:val="false"/>
          <w:color w:val="2E8C8C"/>
          <w:sz w:val="21"/>
          <w:szCs w:val="21"/>
        </w:rPr>
        <w:t xml:space="preserve">Supplied Manpower, Medical Records &amp; Project Timesheets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HR-15</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Register and track workers supplied by manpower-supply agencies (not direct employees): personal details, supplier/sponsor, trade, and their certifications with validity/expiry alerts.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HR-16</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Store each employee's previous / historical medical records and clearances as part of the profile, with restricted, need-to-know access.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HR-17</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Project-based timesheet entry: record time for employees and supplied workers against a Project ID across various projects, feeding payroll and project cost.</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pPr>
        <w:pStyle w:val="Heading3"/>
        <w:spacing w:after="80" w:before="180"/>
      </w:pPr>
      <w:r>
        <w:rPr>
          <w:rFonts w:ascii="Calibri" w:cs="Calibri" w:eastAsia="Calibri" w:hAnsi="Calibri"/>
          <w:b/>
          <w:bCs/>
          <w:i w:val="false"/>
          <w:iCs w:val="false"/>
          <w:caps w:val="false"/>
          <w:color w:val="2E8C8C"/>
          <w:sz w:val="21"/>
          <w:szCs w:val="21"/>
        </w:rPr>
        <w:t xml:space="preserve">Job Assignments &amp; Task Management (Admin)</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HR-18</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Assign a job/task to any department or a specific person, with a clear description, priority and reference number (ticket).</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HR-19</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Capture assignment details: assigned by, assigned to (department/person), assignment date and time allocation (estimated time and/or due date).</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HR-20</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Self-assignment: a user can create and assign a task to themselves, or pick up an open/unassigned task.</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HR-21</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Progress tracking: the assignee updates status and progress (e.g. Open → In Progress → Completed) with comments.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HR-22</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Automatic alerts for new assignments, upcoming due dates and overdue tasks, to the assignee and the assigner.</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HR-23</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Ticket closure: close the job/ticket on completion with a closure record (closed by, date and remarks); reopen if required.</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6.4  CRM — Sales, Marketing &amp; Estimation</w:t>
      </w:r>
    </w:p>
    <w:p>
      <w:pPr>
        <w:spacing w:after="140" w:before="0" w:line="276"/>
      </w:pPr>
      <w:r>
        <w:rPr>
          <w:rFonts w:ascii="Calibri" w:cs="Calibri" w:eastAsia="Calibri" w:hAnsi="Calibri"/>
          <w:b w:val="false"/>
          <w:bCs w:val="false"/>
          <w:i w:val="false"/>
          <w:iCs w:val="false"/>
          <w:caps w:val="false"/>
          <w:color w:val="2B2B2B"/>
          <w:sz w:val="21"/>
          <w:szCs w:val="21"/>
        </w:rPr>
        <w:t xml:space="preserve">Captures demand and converts it into won work. Covers lead and opportunity management, marketing, and the detailed cost estimation and quotation process specific to fabrication and erection contracting.</w:t>
      </w:r>
    </w:p>
    <w:p>
      <w:pPr>
        <w:pStyle w:val="Heading3"/>
        <w:spacing w:after="80" w:before="180"/>
      </w:pPr>
      <w:r>
        <w:rPr>
          <w:rFonts w:ascii="Calibri" w:cs="Calibri" w:eastAsia="Calibri" w:hAnsi="Calibri"/>
          <w:b/>
          <w:bCs/>
          <w:i w:val="false"/>
          <w:iCs w:val="false"/>
          <w:caps w:val="false"/>
          <w:color w:val="2E8C8C"/>
          <w:sz w:val="21"/>
          <w:szCs w:val="21"/>
        </w:rPr>
        <w:t xml:space="preserve">Lead, Opportunity &amp; Marketing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CRM-01</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Lead capture, segmentation, qualification scoring and full interaction history.</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CRM-02</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Sales pipeline with stage tracking, deal-probability weighting and competitor intelligence.</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CRM-03</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Tender / bid logging.</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CRM-04</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Marketing campaign management with event tracking and ROI analytics.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6B7683"/>
                <w:sz w:val="19"/>
                <w:szCs w:val="19"/>
              </w:rPr>
              <w:t xml:space="preserve">Could</w:t>
            </w:r>
          </w:p>
        </w:tc>
      </w:tr>
    </w:tbl>
    <w:p>
      <w:pPr>
        <w:pStyle w:val="Heading3"/>
        <w:spacing w:after="80" w:before="180"/>
      </w:pPr>
      <w:r>
        <w:rPr>
          <w:rFonts w:ascii="Calibri" w:cs="Calibri" w:eastAsia="Calibri" w:hAnsi="Calibri"/>
          <w:b/>
          <w:bCs/>
          <w:i w:val="false"/>
          <w:iCs w:val="false"/>
          <w:caps w:val="false"/>
          <w:color w:val="2E8C8C"/>
          <w:sz w:val="21"/>
          <w:szCs w:val="21"/>
        </w:rPr>
        <w:t xml:space="preserve">Cost Estimation &amp; Takeoff</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CRM-05</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Bill of Quantities (BOQ) creation and material takeoff (MTO).</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CRM-06</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Cost build-up: direct labour rates, machine-hour estimates and various indirect costs.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CRM-07</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Bidding scope and units: unit rate per Ton, Metre, Piece or lump-sum per drawing package / BOQ.</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CRM-08</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Material supply models: FOC (Free-of-Cost issue) and Turnkey (subcontractor sources materials).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CRM-09</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Subcontractor bidding and comparison within the estimate.</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CRM-10</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Attach quality &amp; deliverable requirements: ITP, NDT reports, Hydrotests and Mill Test Certificates.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pPr>
        <w:pStyle w:val="Heading3"/>
        <w:spacing w:after="80" w:before="180"/>
      </w:pPr>
      <w:r>
        <w:rPr>
          <w:rFonts w:ascii="Calibri" w:cs="Calibri" w:eastAsia="Calibri" w:hAnsi="Calibri"/>
          <w:b/>
          <w:bCs/>
          <w:i w:val="false"/>
          <w:iCs w:val="false"/>
          <w:caps w:val="false"/>
          <w:color w:val="2E8C8C"/>
          <w:sz w:val="21"/>
          <w:szCs w:val="21"/>
        </w:rPr>
        <w:t xml:space="preserve">Estimation &amp; Quotation Workflow</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CRM-11</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Enquiry received from sales team or directly via a customer portal, logged as a lead with defined data fields.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CRM-12</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Record site visit; attach the site visit report to the lead and display a ‘Site Report Submitted’ status.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CRM-13</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Estimation Engineer reviews the site report and prepares a sales quotation.</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CRM-14</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Quotation routed to management for review and approval.</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CRM-15</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On approval, issue the quotation to the customer as a PDF by email.</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CRM-16</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Handle customer discussions and quotation revisions with full version history.</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CRM-17</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On customer approval, capture the received customer PO and hand over to Projects &amp; Finance.</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pPr>
        <w:pStyle w:val="Heading3"/>
        <w:spacing w:after="80" w:before="180"/>
      </w:pPr>
      <w:r>
        <w:rPr>
          <w:rFonts w:ascii="Calibri" w:cs="Calibri" w:eastAsia="Calibri" w:hAnsi="Calibri"/>
          <w:b/>
          <w:bCs/>
          <w:i w:val="false"/>
          <w:iCs w:val="false"/>
          <w:caps w:val="false"/>
          <w:color w:val="2E8C8C"/>
          <w:sz w:val="21"/>
          <w:szCs w:val="21"/>
        </w:rPr>
        <w:t xml:space="preserve">Commercial Proposal (Final Stage)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CRM-18</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Markup rules, margin analysis, multi-currency quotations and discount approval matrices.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6.5  Project Management</w:t>
      </w:r>
    </w:p>
    <w:p>
      <w:pPr>
        <w:spacing w:after="140" w:before="0" w:line="276"/>
      </w:pPr>
      <w:r>
        <w:rPr>
          <w:rFonts w:ascii="Calibri" w:cs="Calibri" w:eastAsia="Calibri" w:hAnsi="Calibri"/>
          <w:b w:val="false"/>
          <w:bCs w:val="false"/>
          <w:i w:val="false"/>
          <w:iCs w:val="false"/>
          <w:caps w:val="false"/>
          <w:color w:val="2B2B2B"/>
          <w:sz w:val="21"/>
          <w:szCs w:val="21"/>
        </w:rPr>
        <w:t xml:space="preserve">Turns a won contract into a planned, resourced and tracked project. Covers the work breakdown, fabrication and erection progress, resources, subcontractors and civil works — integrated with Inventory, HR and Finance.</w:t>
      </w:r>
    </w:p>
    <w:p>
      <w:pPr>
        <w:pStyle w:val="Heading3"/>
        <w:spacing w:after="80" w:before="180"/>
      </w:pPr>
      <w:r>
        <w:rPr>
          <w:rFonts w:ascii="Calibri" w:cs="Calibri" w:eastAsia="Calibri" w:hAnsi="Calibri"/>
          <w:b/>
          <w:bCs/>
          <w:i w:val="false"/>
          <w:iCs w:val="false"/>
          <w:caps w:val="false"/>
          <w:color w:val="2E8C8C"/>
          <w:sz w:val="21"/>
          <w:szCs w:val="21"/>
        </w:rPr>
        <w:t xml:space="preserve">Project Setup &amp; Execution</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PRJ-01</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Create project with Activity/Work Breakdown Structure and budget from the approved estimate.</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PRJ-02</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Materials management integrated with Inventory (requests, issues, consumption per project).</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PRJ-03</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Fabrication tracking against the fabrication schedule.</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PRJ-04</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Erection schedule planning and progress tracking.</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PRJ-05</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Shutdown operations planning and tracking.</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pPr>
        <w:pStyle w:val="Heading3"/>
        <w:spacing w:after="80" w:before="180"/>
      </w:pPr>
      <w:r>
        <w:rPr>
          <w:rFonts w:ascii="Calibri" w:cs="Calibri" w:eastAsia="Calibri" w:hAnsi="Calibri"/>
          <w:b/>
          <w:bCs/>
          <w:i w:val="false"/>
          <w:iCs w:val="false"/>
          <w:caps w:val="false"/>
          <w:color w:val="2E8C8C"/>
          <w:sz w:val="21"/>
          <w:szCs w:val="21"/>
        </w:rPr>
        <w:t xml:space="preserve">Resources &amp; Subcontracting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PRJ-06</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Manpower allocation with works planning, covering various visa types, local hiring and manpower shared from other group companies.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PRJ-07</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Fleet management for project vehicles and equipment.</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PRJ-08</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Allocation of tools, tackles and consumables to projects, integrated with Inventory.</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PRJ-09</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Procurement integration so project demand flows into the purchasing process.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PRJ-10</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Civil works and earthworks engineering tracking.</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6B7683"/>
                <w:sz w:val="19"/>
                <w:szCs w:val="19"/>
              </w:rPr>
              <w:t xml:space="preserve">Could</w:t>
            </w:r>
          </w:p>
        </w:tc>
      </w:tr>
    </w:tbl>
    <w:p>
      <w:pPr>
        <w:pStyle w:val="Heading3"/>
        <w:spacing w:after="80" w:before="180"/>
      </w:pPr>
      <w:r>
        <w:rPr>
          <w:rFonts w:ascii="Calibri" w:cs="Calibri" w:eastAsia="Calibri" w:hAnsi="Calibri"/>
          <w:b/>
          <w:bCs/>
          <w:i w:val="false"/>
          <w:iCs w:val="false"/>
          <w:caps w:val="false"/>
          <w:color w:val="2E8C8C"/>
          <w:sz w:val="21"/>
          <w:szCs w:val="21"/>
        </w:rPr>
        <w:t xml:space="preserve">Project Types, Subcontracts, Extra Work &amp; Progress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PRJ-11</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Support different project types: projects executed WITH materials (supply and install) and WITHOUT materials (labour / erection only), each costed accordingly.</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PRJ-12</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Manage subcontracts by type — subcontracted work, subcontracted manpower and subcontracted materials — each tracked, approved and costed to the project.</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PRJ-13</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Raise and track extra-work / variation orders for a particular project, separate from the original scope, with their own approval, tracking and costing.</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PRJ-14</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Project process tracking with daily and weekly progress updates against the plan, feeding progress %, cost and management reporting.</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PRJ-15</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Capture manpower time by Project ID (project timesheets) for deployed and shared resources, feeding project cost and payroll.</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pPr>
        <w:pStyle w:val="Heading2"/>
        <w:spacing w:after="100" w:before="260"/>
      </w:pPr>
      <w:r>
        <w:rPr>
          <w:rFonts w:ascii="Calibri" w:cs="Calibri" w:eastAsia="Calibri" w:hAnsi="Calibri"/>
          <w:b/>
          <w:bCs/>
          <w:i w:val="false"/>
          <w:iCs w:val="false"/>
          <w:caps w:val="false"/>
          <w:color w:val="2F6FB2"/>
          <w:sz w:val="24"/>
          <w:szCs w:val="24"/>
        </w:rPr>
        <w:t xml:space="preserve">6.6  Health, Safety &amp; Environment (HSE)</w:t>
      </w:r>
    </w:p>
    <w:p>
      <w:pPr>
        <w:spacing w:after="140" w:before="0" w:line="276"/>
      </w:pPr>
      <w:r>
        <w:rPr>
          <w:rFonts w:ascii="Calibri" w:cs="Calibri" w:eastAsia="Calibri" w:hAnsi="Calibri"/>
          <w:b w:val="false"/>
          <w:bCs w:val="false"/>
          <w:i w:val="false"/>
          <w:iCs w:val="false"/>
          <w:caps w:val="false"/>
          <w:color w:val="2B2B2B"/>
          <w:sz w:val="21"/>
          <w:szCs w:val="21"/>
        </w:rPr>
        <w:t xml:space="preserve">Digitises site safety so that high-risk work is permitted, incidents are learned from, inspections are recorded, and every worker's safety competency is valid — a legal and reputational necessity in industrial contracting.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HSE-01</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Permit to Work (PTW): manage high-risk digital permits — Hot Work, Confined Space, Critical Lift, Working at Height and Excavation.</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HSE-02</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Incident &amp; near-miss management with root-cause analysis (RCA) and corrective/preventive action (CAPA) tracking.</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HSE-03</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Statutory / OSHA incident reporting.</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HSE-04</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HSE inspections &amp; audits: site safety checklists, environmental audits, scaffolding sign-offs and fire-equipment checks.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HSE-05</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Training &amp; skill certifications: safety inductions, trade certifications (e.g. 6G Welder, Rigger Level 1) and medical clearances, with expiry alerts.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HSE-06</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Environmental &amp; waste management: hazardous-waste disposal, fuel-storage emissions, dust control and noise-level compliance.</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6.7  Finance &amp; Accounting</w:t>
      </w:r>
    </w:p>
    <w:p>
      <w:pPr>
        <w:spacing w:after="140" w:before="0" w:line="276"/>
      </w:pPr>
      <w:r>
        <w:rPr>
          <w:rFonts w:ascii="Calibri" w:cs="Calibri" w:eastAsia="Calibri" w:hAnsi="Calibri"/>
          <w:b w:val="false"/>
          <w:bCs w:val="false"/>
          <w:i w:val="false"/>
          <w:iCs w:val="false"/>
          <w:caps w:val="false"/>
          <w:color w:val="2B2B2B"/>
          <w:sz w:val="21"/>
          <w:szCs w:val="21"/>
        </w:rPr>
        <w:t xml:space="preserve">The financial backbone of the ERP — turning project activity into accurate cost, revenue, cash-flow and profitability information for management, per company and consolidated for the group, with the contracting-specific handling of WIP, retention and progress billing.</w:t>
      </w:r>
    </w:p>
    <w:p>
      <w:pPr>
        <w:pStyle w:val="Heading3"/>
        <w:spacing w:after="80" w:before="180"/>
      </w:pPr>
      <w:r>
        <w:rPr>
          <w:rFonts w:ascii="Calibri" w:cs="Calibri" w:eastAsia="Calibri" w:hAnsi="Calibri"/>
          <w:b/>
          <w:bCs/>
          <w:i w:val="false"/>
          <w:iCs w:val="false"/>
          <w:caps w:val="false"/>
          <w:color w:val="2E8C8C"/>
          <w:sz w:val="21"/>
          <w:szCs w:val="21"/>
        </w:rPr>
        <w:t xml:space="preserve">Core Finance &amp; Project Accounting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FIN-01</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Core financial modules (General Ledger, Accounts Payable, Accounts Receivable) with enterprise integration across all modules.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FIN-02</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Work-in-Progress (WIP) and revenue recognition for long-running projects.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FIN-03</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Subcontractor and client retention management (amounts withheld and release schedules).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FIN-04</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Multi-level financial approvals following the group sign-off hierarchy, with a Director level between Operations Manager and Managing Director (… → Operations Manager → Director → Managing Director).</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FIN-05</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Multi-company accounting: separate books per group company with consolidated group financial statements, inter-company transactions and eliminations (see Section 6.1).</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pPr>
        <w:pStyle w:val="Heading3"/>
        <w:spacing w:after="80" w:before="180"/>
      </w:pPr>
      <w:r>
        <w:rPr>
          <w:rFonts w:ascii="Calibri" w:cs="Calibri" w:eastAsia="Calibri" w:hAnsi="Calibri"/>
          <w:b/>
          <w:bCs/>
          <w:i w:val="false"/>
          <w:iCs w:val="false"/>
          <w:caps w:val="false"/>
          <w:color w:val="2E8C8C"/>
          <w:sz w:val="21"/>
          <w:szCs w:val="21"/>
        </w:rPr>
        <w:t xml:space="preserve">Costing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FIN-06</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Job / project costing capturing actual cost against the project budget, including project timesheets, subcontracts and inter-company charges.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FIN-07</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Activity-based costing to allocate indirect costs to activities and projects.</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bl>
    <w:p>
      <w:pPr>
        <w:pStyle w:val="Heading3"/>
        <w:spacing w:after="80" w:before="180"/>
      </w:pPr>
      <w:r>
        <w:rPr>
          <w:rFonts w:ascii="Calibri" w:cs="Calibri" w:eastAsia="Calibri" w:hAnsi="Calibri"/>
          <w:b/>
          <w:bCs/>
          <w:i w:val="false"/>
          <w:iCs w:val="false"/>
          <w:caps w:val="false"/>
          <w:color w:val="2E8C8C"/>
          <w:sz w:val="21"/>
          <w:szCs w:val="21"/>
        </w:rPr>
        <w:t xml:space="preserve">Reporting &amp; Executive Insight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150"/>
        <w:gridCol w:w="6810"/>
        <w:gridCol w:w="1400"/>
      </w:tblGrid>
      <w:tr>
        <w:trPr>
          <w:tblHeader/>
        </w:trPr>
        <w:tc>
          <w:tcPr>
            <w:tcW w:type="dxa" w:w="115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681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FIN-08</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Project profitability reports: real-time income statements by Project, Discipline (Civil, Structural, Maintenance) or WBS cost code.</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r>
        <w:tc>
          <w:tcPr>
            <w:tcW w:type="dxa" w:w="1150"/>
            <w:shd w:fill="F4F8FC"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FIN-09</w:t>
            </w:r>
          </w:p>
        </w:tc>
        <w:tc>
          <w:tcPr>
            <w:tcW w:type="dxa" w:w="681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Earned-value integration: link Cost Performance Index (CPI) to forecasts to project Estimate at Completion (EAC).</w:t>
            </w:r>
          </w:p>
        </w:tc>
        <w:tc>
          <w:tcPr>
            <w:tcW w:type="dxa" w:w="1400"/>
            <w:shd w:fill="F4F8FC"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2F6FB2"/>
                <w:sz w:val="19"/>
                <w:szCs w:val="19"/>
              </w:rPr>
              <w:t xml:space="preserve">Should</w:t>
            </w:r>
          </w:p>
        </w:tc>
      </w:tr>
      <w:tr>
        <w:tc>
          <w:tcPr>
            <w:tcW w:type="dxa" w:w="1150"/>
            <w:shd w:fill="FFFFFF"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1F3B57"/>
                <w:sz w:val="19"/>
                <w:szCs w:val="19"/>
              </w:rPr>
              <w:t xml:space="preserve">FIN-10</w:t>
            </w:r>
          </w:p>
        </w:tc>
        <w:tc>
          <w:tcPr>
            <w:tcW w:type="dxa" w:w="681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20"/>
                <w:szCs w:val="20"/>
              </w:rPr>
              <w:t xml:space="preserve">Cash-flow projections combining AP payment schedules, AR retention release dates and project milestones.</w:t>
            </w:r>
          </w:p>
        </w:tc>
        <w:tc>
          <w:tcPr>
            <w:tcW w:type="dxa" w:w="1400"/>
            <w:shd w:fill="FFFFFF" w:color="auto" w:val="clear"/>
            <w:tcMar>
              <w:top w:type="dxa" w:w="60"/>
              <w:left w:type="dxa" w:w="110"/>
              <w:bottom w:type="dxa" w:w="60"/>
              <w:right w:type="dxa" w:w="110"/>
            </w:tcMar>
            <w:vAlign w:val="center"/>
          </w:tcPr>
          <w:p>
            <w:pPr>
              <w:spacing w:after="0"/>
              <w:jc w:val="center"/>
            </w:pPr>
            <w:r>
              <w:rPr>
                <w:rFonts w:ascii="Calibri" w:cs="Calibri" w:eastAsia="Calibri" w:hAnsi="Calibri"/>
                <w:b/>
                <w:bCs/>
                <w:i w:val="false"/>
                <w:iCs w:val="false"/>
                <w:caps w:val="false"/>
                <w:color w:val="1F3B57"/>
                <w:sz w:val="19"/>
                <w:szCs w:val="19"/>
              </w:rPr>
              <w:t xml:space="preserve">Must</w:t>
            </w:r>
          </w:p>
        </w:tc>
      </w:tr>
    </w:tbl>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7.  Recommended Value-Add Features</w:t>
      </w:r>
    </w:p>
    <w:p>
      <w:pPr>
        <w:spacing w:after="140" w:before="0" w:line="276"/>
      </w:pPr>
      <w:r>
        <w:rPr>
          <w:rFonts w:ascii="Calibri" w:cs="Calibri" w:eastAsia="Calibri" w:hAnsi="Calibri"/>
          <w:b w:val="false"/>
          <w:bCs w:val="false"/>
          <w:i w:val="false"/>
          <w:iCs w:val="false"/>
          <w:caps w:val="false"/>
          <w:color w:val="2B2B2B"/>
          <w:sz w:val="21"/>
          <w:szCs w:val="21"/>
        </w:rPr>
        <w:t xml:space="preserve">Beyond the requirements captured above, the following features are low-effort, high-value additions that build naturally on the same platform and data. They are recommended to maximise the return on the ERP investment. Each can be included in the relevant phase without significant extra cost.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900"/>
        <w:gridCol w:w="1900"/>
        <w:gridCol w:w="5160"/>
        <w:gridCol w:w="1400"/>
      </w:tblGrid>
      <w:tr>
        <w:trPr>
          <w:tblHeader/>
        </w:trPr>
        <w:tc>
          <w:tcPr>
            <w:tcW w:type="dxa" w:w="9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Ref</w:t>
            </w:r>
          </w:p>
        </w:tc>
        <w:tc>
          <w:tcPr>
            <w:tcW w:type="dxa" w:w="19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Feature</w:t>
            </w:r>
          </w:p>
        </w:tc>
        <w:tc>
          <w:tcPr>
            <w:tcW w:type="dxa" w:w="51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Business value</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Priority</w:t>
            </w:r>
          </w:p>
        </w:tc>
      </w:tr>
      <w:tr>
        <w:tc>
          <w:tcPr>
            <w:tcW w:type="dxa" w:w="9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ADD-01</w:t>
            </w:r>
          </w:p>
        </w:tc>
        <w:tc>
          <w:tcPr>
            <w:tcW w:type="dxa" w:w="19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Executive Dashboard</w:t>
            </w:r>
          </w:p>
        </w:tc>
        <w:tc>
          <w:tcPr>
            <w:tcW w:type="dxa" w:w="51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 single, live 'command centre' screen for directors showing project profitability, cash flow, stock alerts, overdue approvals and safety incidents — the whole business at a glance.</w:t>
            </w:r>
          </w:p>
        </w:tc>
        <w:tc>
          <w:tcPr>
            <w:tcW w:type="dxa" w:w="1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Should</w:t>
            </w:r>
          </w:p>
        </w:tc>
      </w:tr>
      <w:tr>
        <w:tc>
          <w:tcPr>
            <w:tcW w:type="dxa" w:w="9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ADD-02</w:t>
            </w:r>
          </w:p>
        </w:tc>
        <w:tc>
          <w:tcPr>
            <w:tcW w:type="dxa" w:w="19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Mobile App for Site Teams</w:t>
            </w:r>
          </w:p>
        </w:tc>
        <w:tc>
          <w:tcPr>
            <w:tcW w:type="dxa" w:w="51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Raise material requests, record GRN, mark attendance, update progress and approve on a phone — essential for staff who are rarely at a desk.</w:t>
            </w:r>
          </w:p>
        </w:tc>
        <w:tc>
          <w:tcPr>
            <w:tcW w:type="dxa" w:w="1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Should</w:t>
            </w:r>
          </w:p>
        </w:tc>
      </w:tr>
      <w:tr>
        <w:tc>
          <w:tcPr>
            <w:tcW w:type="dxa" w:w="9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ADD-03</w:t>
            </w:r>
          </w:p>
        </w:tc>
        <w:tc>
          <w:tcPr>
            <w:tcW w:type="dxa" w:w="19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QR / Barcode Tool &amp; Stock Tracking</w:t>
            </w:r>
          </w:p>
        </w:tc>
        <w:tc>
          <w:tcPr>
            <w:tcW w:type="dxa" w:w="51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Scan racks, tools and serialized equipment for instant stock, location and calibration status — speeds up issues, returns and audits.</w:t>
            </w:r>
          </w:p>
        </w:tc>
        <w:tc>
          <w:tcPr>
            <w:tcW w:type="dxa" w:w="1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Should</w:t>
            </w:r>
          </w:p>
        </w:tc>
      </w:tr>
      <w:tr>
        <w:tc>
          <w:tcPr>
            <w:tcW w:type="dxa" w:w="9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ADD-04</w:t>
            </w:r>
          </w:p>
        </w:tc>
        <w:tc>
          <w:tcPr>
            <w:tcW w:type="dxa" w:w="19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Unified Alerts &amp; Notifications</w:t>
            </w:r>
          </w:p>
        </w:tc>
        <w:tc>
          <w:tcPr>
            <w:tcW w:type="dxa" w:w="51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One engine for email/SMS/WhatsApp alerts covering reorder points, calibration, certification and visa expiry, and pending approvals — nothing slips through.</w:t>
            </w:r>
          </w:p>
        </w:tc>
        <w:tc>
          <w:tcPr>
            <w:tcW w:type="dxa" w:w="1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Must</w:t>
            </w:r>
          </w:p>
        </w:tc>
      </w:tr>
      <w:tr>
        <w:tc>
          <w:tcPr>
            <w:tcW w:type="dxa" w:w="9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ADD-05</w:t>
            </w:r>
          </w:p>
        </w:tc>
        <w:tc>
          <w:tcPr>
            <w:tcW w:type="dxa" w:w="19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Central Document Management</w:t>
            </w:r>
          </w:p>
        </w:tc>
        <w:tc>
          <w:tcPr>
            <w:tcW w:type="dxa" w:w="51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Version-controlled storage for drawings, MTCs, ITPs, POs, contracts and certificates, linked to the relevant project, vendor or employee.</w:t>
            </w:r>
          </w:p>
        </w:tc>
        <w:tc>
          <w:tcPr>
            <w:tcW w:type="dxa" w:w="1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Should</w:t>
            </w:r>
          </w:p>
        </w:tc>
      </w:tr>
      <w:tr>
        <w:tc>
          <w:tcPr>
            <w:tcW w:type="dxa" w:w="9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ADD-06</w:t>
            </w:r>
          </w:p>
        </w:tc>
        <w:tc>
          <w:tcPr>
            <w:tcW w:type="dxa" w:w="19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Digital Approvals from Anywhere</w:t>
            </w:r>
          </w:p>
        </w:tc>
        <w:tc>
          <w:tcPr>
            <w:tcW w:type="dxa" w:w="51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Approve MRs, POs, quotations and leave by email or mobile with a full audit trail — no delays when managers travel.</w:t>
            </w:r>
          </w:p>
        </w:tc>
        <w:tc>
          <w:tcPr>
            <w:tcW w:type="dxa" w:w="1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Must</w:t>
            </w:r>
          </w:p>
        </w:tc>
      </w:tr>
      <w:tr>
        <w:tc>
          <w:tcPr>
            <w:tcW w:type="dxa" w:w="9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ADD-07</w:t>
            </w:r>
          </w:p>
        </w:tc>
        <w:tc>
          <w:tcPr>
            <w:tcW w:type="dxa" w:w="19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Role-Based Access &amp; Audit Trail</w:t>
            </w:r>
          </w:p>
        </w:tc>
        <w:tc>
          <w:tcPr>
            <w:tcW w:type="dxa" w:w="51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Every user sees only what they should, and every key action is logged (who, what, when) for governance and dispute resolution.</w:t>
            </w:r>
          </w:p>
        </w:tc>
        <w:tc>
          <w:tcPr>
            <w:tcW w:type="dxa" w:w="1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Must</w:t>
            </w:r>
          </w:p>
        </w:tc>
      </w:tr>
      <w:tr>
        <w:tc>
          <w:tcPr>
            <w:tcW w:type="dxa" w:w="9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ADD-08</w:t>
            </w:r>
          </w:p>
        </w:tc>
        <w:tc>
          <w:tcPr>
            <w:tcW w:type="dxa" w:w="19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Digital Gate Pass / Material Movement</w:t>
            </w:r>
          </w:p>
        </w:tc>
        <w:tc>
          <w:tcPr>
            <w:tcW w:type="dxa" w:w="51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Controlled, paperless movement of materials and tools between store, sites and yard, tied to the stock records.</w:t>
            </w:r>
          </w:p>
        </w:tc>
        <w:tc>
          <w:tcPr>
            <w:tcW w:type="dxa" w:w="1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Could</w:t>
            </w:r>
          </w:p>
        </w:tc>
      </w:tr>
      <w:tr>
        <w:tc>
          <w:tcPr>
            <w:tcW w:type="dxa" w:w="9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ADD-09</w:t>
            </w:r>
          </w:p>
        </w:tc>
        <w:tc>
          <w:tcPr>
            <w:tcW w:type="dxa" w:w="19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Customer &amp; Vendor Self-Service Portals</w:t>
            </w:r>
          </w:p>
        </w:tc>
        <w:tc>
          <w:tcPr>
            <w:tcW w:type="dxa" w:w="51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Customers submit enquiries and track quotations; vendors register and respond to RFQs — reducing email and phone follow-up.</w:t>
            </w:r>
          </w:p>
        </w:tc>
        <w:tc>
          <w:tcPr>
            <w:tcW w:type="dxa" w:w="1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Should</w:t>
            </w:r>
          </w:p>
        </w:tc>
      </w:tr>
      <w:tr>
        <w:tc>
          <w:tcPr>
            <w:tcW w:type="dxa" w:w="9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ADD-10</w:t>
            </w:r>
          </w:p>
        </w:tc>
        <w:tc>
          <w:tcPr>
            <w:tcW w:type="dxa" w:w="19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Invoice / Document Capture (OCR)</w:t>
            </w:r>
          </w:p>
        </w:tc>
        <w:tc>
          <w:tcPr>
            <w:tcW w:type="dxa" w:w="51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Scan supplier invoices and GRNs to auto-fill data and speed up matching — reduces manual data entry and errors.</w:t>
            </w:r>
          </w:p>
        </w:tc>
        <w:tc>
          <w:tcPr>
            <w:tcW w:type="dxa" w:w="1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Could</w:t>
            </w:r>
          </w:p>
        </w:tc>
      </w:tr>
    </w:tbl>
    <w:p>
      <w:pPr>
        <w:spacing w:after="60"/>
      </w:pPr>
      <w:r>
        <w:rPr>
          <w:rFonts w:ascii="Calibri" w:cs="Calibri" w:eastAsia="Calibri" w:hAnsi="Calibri"/>
          <w:b w:val="false"/>
          <w:bCs w:val="false"/>
          <w:i w:val="false"/>
          <w:iCs w:val="false"/>
          <w:caps w:val="false"/>
          <w:color w:val="222222"/>
          <w:sz w:val="21"/>
          <w:szCs w:val="21"/>
        </w:rPr>
        <w:t xml:space="preserve"/>
      </w:r>
    </w:p>
    <w:tbl>
      <w:tblPr>
        <w:tblW w:type="dxa" w:w="9360"/>
        <w:tblBorders>
          <w:top w:val="single" w:color="2E8C8C" w:sz="4"/>
          <w:left w:val="single" w:color="2E8C8C" w:sz="30"/>
          <w:bottom w:val="single" w:color="2E8C8C" w:sz="4"/>
          <w:right w:val="single" w:color="2E8C8C" w:sz="4"/>
          <w:insideH w:val="none"/>
          <w:insideV w:val="none"/>
        </w:tblBorders>
      </w:tblPr>
      <w:tblGrid>
        <w:gridCol w:w="9360"/>
      </w:tblGrid>
      <w:tr>
        <w:tc>
          <w:tcPr>
            <w:tcW w:type="dxa" w:w="9360"/>
            <w:shd w:fill="F2FAFA" w:color="auto" w:val="clear"/>
            <w:tcMar>
              <w:top w:type="dxa" w:w="60"/>
              <w:left w:type="dxa" w:w="110"/>
              <w:bottom w:type="dxa" w:w="60"/>
              <w:right w:type="dxa" w:w="110"/>
            </w:tcMar>
            <w:vAlign w:val="center"/>
          </w:tcPr>
          <w:p>
            <w:pPr>
              <w:spacing w:after="40"/>
            </w:pPr>
            <w:r>
              <w:rPr>
                <w:rFonts w:ascii="Calibri" w:cs="Calibri" w:eastAsia="Calibri" w:hAnsi="Calibri"/>
                <w:b/>
                <w:bCs/>
                <w:i w:val="false"/>
                <w:iCs w:val="false"/>
                <w:caps/>
                <w:color w:val="2E8C8C"/>
                <w:sz w:val="20"/>
                <w:szCs w:val="20"/>
              </w:rPr>
              <w:t xml:space="preserve">Recommendation</w:t>
            </w:r>
          </w:p>
          <w:p>
            <w:pPr>
              <w:spacing w:after="0"/>
            </w:pPr>
            <w:r>
              <w:rPr>
                <w:rFonts w:ascii="Calibri" w:cs="Calibri" w:eastAsia="Calibri" w:hAnsi="Calibri"/>
                <w:b w:val="false"/>
                <w:bCs w:val="false"/>
                <w:i w:val="false"/>
                <w:iCs w:val="false"/>
                <w:caps w:val="false"/>
                <w:color w:val="2B2B2B"/>
                <w:sz w:val="20"/>
                <w:szCs w:val="20"/>
              </w:rPr>
              <w:t xml:space="preserve">ADD-04 (Alerts), ADD-06 (Digital Approvals) and ADD-07 (Access &amp; Audit) are foundational and should be treated as part of the core build. The remaining items deliver strong, visible returns and are recommended for early phases.</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8.  Cross-Module &amp; Non-Functional Requirements</w:t>
      </w:r>
    </w:p>
    <w:p>
      <w:pPr>
        <w:spacing w:after="140" w:before="0" w:line="276"/>
      </w:pPr>
      <w:r>
        <w:rPr>
          <w:rFonts w:ascii="Calibri" w:cs="Calibri" w:eastAsia="Calibri" w:hAnsi="Calibri"/>
          <w:b w:val="false"/>
          <w:bCs w:val="false"/>
          <w:i w:val="false"/>
          <w:iCs w:val="false"/>
          <w:caps w:val="false"/>
          <w:color w:val="2B2B2B"/>
          <w:sz w:val="21"/>
          <w:szCs w:val="21"/>
        </w:rPr>
        <w:t xml:space="preserve">These requirements apply across the whole system and define how well it must perform, not just what it must do.</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400"/>
        <w:gridCol w:w="6960"/>
      </w:tblGrid>
      <w:tr>
        <w:trPr>
          <w:tblHeader/>
        </w:trPr>
        <w:tc>
          <w:tcPr>
            <w:tcW w:type="dxa" w:w="2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Area</w:t>
            </w:r>
          </w:p>
        </w:tc>
        <w:tc>
          <w:tcPr>
            <w:tcW w:type="dxa" w:w="69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Requirement</w:t>
            </w:r>
          </w:p>
        </w:tc>
      </w:tr>
      <w:tr>
        <w:tc>
          <w:tcPr>
            <w:tcW w:type="dxa" w:w="2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Integration</w:t>
            </w:r>
          </w:p>
        </w:tc>
        <w:tc>
          <w:tcPr>
            <w:tcW w:type="dxa" w:w="69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All modules share one database; data entered once flows across departments without re-keying.</w:t>
            </w:r>
          </w:p>
        </w:tc>
      </w:tr>
      <w:tr>
        <w:tc>
          <w:tcPr>
            <w:tcW w:type="dxa" w:w="2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Security</w:t>
            </w:r>
          </w:p>
        </w:tc>
        <w:tc>
          <w:tcPr>
            <w:tcW w:type="dxa" w:w="69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Role-based access control; encrypted storage of sensitive HR, payroll and financial data.</w:t>
            </w:r>
          </w:p>
        </w:tc>
      </w:tr>
      <w:tr>
        <w:tc>
          <w:tcPr>
            <w:tcW w:type="dxa" w:w="2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Audit &amp; compliance</w:t>
            </w:r>
          </w:p>
        </w:tc>
        <w:tc>
          <w:tcPr>
            <w:tcW w:type="dxa" w:w="69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Full audit trail of key transactions and approvals; retention of statutory records.</w:t>
            </w:r>
          </w:p>
        </w:tc>
      </w:tr>
      <w:tr>
        <w:tc>
          <w:tcPr>
            <w:tcW w:type="dxa" w:w="2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Availability</w:t>
            </w:r>
          </w:p>
        </w:tc>
        <w:tc>
          <w:tcPr>
            <w:tcW w:type="dxa" w:w="69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Cloud-hosted with agreed uptime; accessible from office, site and mobile.</w:t>
            </w:r>
          </w:p>
        </w:tc>
      </w:tr>
      <w:tr>
        <w:tc>
          <w:tcPr>
            <w:tcW w:type="dxa" w:w="2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Performance</w:t>
            </w:r>
          </w:p>
        </w:tc>
        <w:tc>
          <w:tcPr>
            <w:tcW w:type="dxa" w:w="69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Standard screens and reports respond within a few seconds under normal load.</w:t>
            </w:r>
          </w:p>
        </w:tc>
      </w:tr>
      <w:tr>
        <w:tc>
          <w:tcPr>
            <w:tcW w:type="dxa" w:w="2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Scalability</w:t>
            </w:r>
          </w:p>
        </w:tc>
        <w:tc>
          <w:tcPr>
            <w:tcW w:type="dxa" w:w="69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Supports growth in users, projects, sites and transaction volume without redesign.</w:t>
            </w:r>
          </w:p>
        </w:tc>
      </w:tr>
      <w:tr>
        <w:tc>
          <w:tcPr>
            <w:tcW w:type="dxa" w:w="2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Usability</w:t>
            </w:r>
          </w:p>
        </w:tc>
        <w:tc>
          <w:tcPr>
            <w:tcW w:type="dxa" w:w="69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Clean, consistent interface requiring minimal training for site and office staff.</w:t>
            </w:r>
          </w:p>
        </w:tc>
      </w:tr>
      <w:tr>
        <w:tc>
          <w:tcPr>
            <w:tcW w:type="dxa" w:w="2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Localisation</w:t>
            </w:r>
          </w:p>
        </w:tc>
        <w:tc>
          <w:tcPr>
            <w:tcW w:type="dxa" w:w="69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Multi-currency; date, tax and statutory rules configurable per operating country.</w:t>
            </w:r>
          </w:p>
        </w:tc>
      </w:tr>
      <w:tr>
        <w:tc>
          <w:tcPr>
            <w:tcW w:type="dxa" w:w="2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Backup &amp; recovery</w:t>
            </w:r>
          </w:p>
        </w:tc>
        <w:tc>
          <w:tcPr>
            <w:tcW w:type="dxa" w:w="69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Regular automated backups with a defined recovery objective.</w:t>
            </w:r>
          </w:p>
        </w:tc>
      </w:tr>
      <w:tr>
        <w:tc>
          <w:tcPr>
            <w:tcW w:type="dxa" w:w="2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Data migration</w:t>
            </w:r>
          </w:p>
        </w:tc>
        <w:tc>
          <w:tcPr>
            <w:tcW w:type="dxa" w:w="69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Structured migration of existing master data (items, vendors, employees, open projects).</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9.  Assumptions, Dependencies &amp; Constraints</w:t>
      </w:r>
    </w:p>
    <w:p>
      <w:pPr>
        <w:pStyle w:val="Heading3"/>
        <w:spacing w:after="80" w:before="180"/>
      </w:pPr>
      <w:r>
        <w:rPr>
          <w:rFonts w:ascii="Calibri" w:cs="Calibri" w:eastAsia="Calibri" w:hAnsi="Calibri"/>
          <w:b/>
          <w:bCs/>
          <w:i w:val="false"/>
          <w:iCs w:val="false"/>
          <w:caps w:val="false"/>
          <w:color w:val="2E8C8C"/>
          <w:sz w:val="21"/>
          <w:szCs w:val="21"/>
        </w:rPr>
        <w:t xml:space="preserve">Assumptions</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Business owners will be available to confirm detailed workflows and approval levels during design.</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Existing master data (items, vendors, employees) can be cleansed and provided for migration.</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Reliable internet connectivity is available at office and, where feasible, at project sites.</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Biometric devices and email/SMS gateways are available for integration.</w:t>
      </w:r>
    </w:p>
    <w:p>
      <w:pPr>
        <w:pStyle w:val="Heading3"/>
        <w:spacing w:after="80" w:before="180"/>
      </w:pPr>
      <w:r>
        <w:rPr>
          <w:rFonts w:ascii="Calibri" w:cs="Calibri" w:eastAsia="Calibri" w:hAnsi="Calibri"/>
          <w:b/>
          <w:bCs/>
          <w:i w:val="false"/>
          <w:iCs w:val="false"/>
          <w:caps w:val="false"/>
          <w:color w:val="2E8C8C"/>
          <w:sz w:val="21"/>
          <w:szCs w:val="21"/>
        </w:rPr>
        <w:t xml:space="preserve">Dependencies</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Integration with existing biometric attendance hardware.</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Email service for quotation and notification delivery; optional SMS/WhatsApp gateway.</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Statutory/tax rules for each operating country to configure payroll and finance.</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Timely stakeholder sign-off at each phase to keep the roadmap on schedule.</w:t>
      </w:r>
    </w:p>
    <w:p>
      <w:pPr>
        <w:pStyle w:val="Heading3"/>
        <w:spacing w:after="80" w:before="180"/>
      </w:pPr>
      <w:r>
        <w:rPr>
          <w:rFonts w:ascii="Calibri" w:cs="Calibri" w:eastAsia="Calibri" w:hAnsi="Calibri"/>
          <w:b/>
          <w:bCs/>
          <w:i w:val="false"/>
          <w:iCs w:val="false"/>
          <w:caps w:val="false"/>
          <w:color w:val="2E8C8C"/>
          <w:sz w:val="21"/>
          <w:szCs w:val="21"/>
        </w:rPr>
        <w:t xml:space="preserve">Constraints</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Delivery to be phased to manage budget, change and business disruption.</w:t>
      </w:r>
    </w:p>
    <w:p>
      <w:pPr>
        <w:pStyle w:val="ListParagraph"/>
        <w:numPr>
          <w:ilvl w:val="0"/>
          <w:numId w:val="2"/>
        </w:numPr>
        <w:spacing w:after="60" w:line="268"/>
      </w:pPr>
      <w:r>
        <w:rPr>
          <w:rFonts w:ascii="Calibri" w:cs="Calibri" w:eastAsia="Calibri" w:hAnsi="Calibri"/>
          <w:b w:val="false"/>
          <w:bCs w:val="false"/>
          <w:i w:val="false"/>
          <w:iCs w:val="false"/>
          <w:caps w:val="false"/>
          <w:color w:val="2B2B2B"/>
          <w:sz w:val="21"/>
          <w:szCs w:val="21"/>
        </w:rPr>
        <w:t xml:space="preserve">First release focuses on the In-Scope items; excluded items are deferred to later phases.</w:t>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10.  Key Risks &amp; Mitigation</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700"/>
        <w:gridCol w:w="2700"/>
        <w:gridCol w:w="3960"/>
      </w:tblGrid>
      <w:tr>
        <w:trPr>
          <w:tblHeader/>
        </w:trPr>
        <w:tc>
          <w:tcPr>
            <w:tcW w:type="dxa" w:w="27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Risk</w:t>
            </w:r>
          </w:p>
        </w:tc>
        <w:tc>
          <w:tcPr>
            <w:tcW w:type="dxa" w:w="27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Impact</w:t>
            </w:r>
          </w:p>
        </w:tc>
        <w:tc>
          <w:tcPr>
            <w:tcW w:type="dxa" w:w="39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Mitigation</w:t>
            </w:r>
          </w:p>
        </w:tc>
      </w:tr>
      <w:tr>
        <w:tc>
          <w:tcPr>
            <w:tcW w:type="dxa" w:w="27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Incomplete or unclean master data</w:t>
            </w:r>
          </w:p>
        </w:tc>
        <w:tc>
          <w:tcPr>
            <w:tcW w:type="dxa" w:w="27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Delays and errors at go-live</w:t>
            </w:r>
          </w:p>
        </w:tc>
        <w:tc>
          <w:tcPr>
            <w:tcW w:type="dxa" w:w="39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Early data-cleansing exercise with clear ownership</w:t>
            </w:r>
          </w:p>
        </w:tc>
      </w:tr>
      <w:tr>
        <w:tc>
          <w:tcPr>
            <w:tcW w:type="dxa" w:w="27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User resistance / low adoption</w:t>
            </w:r>
          </w:p>
        </w:tc>
        <w:tc>
          <w:tcPr>
            <w:tcW w:type="dxa" w:w="27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System not used, benefits unrealised</w:t>
            </w:r>
          </w:p>
        </w:tc>
        <w:tc>
          <w:tcPr>
            <w:tcW w:type="dxa" w:w="39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Involve users early, phased rollout, hands-on training</w:t>
            </w:r>
          </w:p>
        </w:tc>
      </w:tr>
      <w:tr>
        <w:tc>
          <w:tcPr>
            <w:tcW w:type="dxa" w:w="27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Scope creep</w:t>
            </w:r>
          </w:p>
        </w:tc>
        <w:tc>
          <w:tcPr>
            <w:tcW w:type="dxa" w:w="27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Cost and timeline overrun</w:t>
            </w:r>
          </w:p>
        </w:tc>
        <w:tc>
          <w:tcPr>
            <w:tcW w:type="dxa" w:w="39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Agreed BRD baseline; changes via change control</w:t>
            </w:r>
          </w:p>
        </w:tc>
      </w:tr>
      <w:tr>
        <w:tc>
          <w:tcPr>
            <w:tcW w:type="dxa" w:w="27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Connectivity at remote sites</w:t>
            </w:r>
          </w:p>
        </w:tc>
        <w:tc>
          <w:tcPr>
            <w:tcW w:type="dxa" w:w="27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Site staff unable to transact</w:t>
            </w:r>
          </w:p>
        </w:tc>
        <w:tc>
          <w:tcPr>
            <w:tcW w:type="dxa" w:w="39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Mobile app with offline capture where feasible</w:t>
            </w:r>
          </w:p>
        </w:tc>
      </w:tr>
      <w:tr>
        <w:tc>
          <w:tcPr>
            <w:tcW w:type="dxa" w:w="27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Over-customisation</w:t>
            </w:r>
          </w:p>
        </w:tc>
        <w:tc>
          <w:tcPr>
            <w:tcW w:type="dxa" w:w="27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Costly upgrades and maintenance</w:t>
            </w:r>
          </w:p>
        </w:tc>
        <w:tc>
          <w:tcPr>
            <w:tcW w:type="dxa" w:w="39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Prefer configuration over custom code where possible</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11.  Implementation Roadmap</w:t>
      </w:r>
    </w:p>
    <w:p>
      <w:pPr>
        <w:spacing w:after="140" w:before="0" w:line="276"/>
      </w:pPr>
      <w:r>
        <w:rPr>
          <w:rFonts w:ascii="Calibri" w:cs="Calibri" w:eastAsia="Calibri" w:hAnsi="Calibri"/>
          <w:b w:val="false"/>
          <w:bCs w:val="false"/>
          <w:i w:val="false"/>
          <w:iCs w:val="false"/>
          <w:caps w:val="false"/>
          <w:color w:val="2B2B2B"/>
          <w:sz w:val="21"/>
          <w:szCs w:val="21"/>
        </w:rPr>
        <w:t xml:space="preserve">A phased rollout de-risks the programme and lets the group realise value early. The four-phase sequence below reflects the client's feedback. The multi-company group structure (Section 6.1) is established in Phase 1 as the foundation and applies across all later phases.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500"/>
        <w:gridCol w:w="3560"/>
        <w:gridCol w:w="3300"/>
      </w:tblGrid>
      <w:tr>
        <w:trPr>
          <w:tblHeader/>
        </w:trPr>
        <w:tc>
          <w:tcPr>
            <w:tcW w:type="dxa" w:w="25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Phase</w:t>
            </w:r>
          </w:p>
        </w:tc>
        <w:tc>
          <w:tcPr>
            <w:tcW w:type="dxa" w:w="35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Focus</w:t>
            </w:r>
          </w:p>
        </w:tc>
        <w:tc>
          <w:tcPr>
            <w:tcW w:type="dxa" w:w="33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Delivers</w:t>
            </w:r>
          </w:p>
        </w:tc>
      </w:tr>
      <w:tr>
        <w:tc>
          <w:tcPr>
            <w:tcW w:type="dxa" w:w="25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Phase 1 — Foundation</w:t>
            </w:r>
          </w:p>
        </w:tc>
        <w:tc>
          <w:tcPr>
            <w:tcW w:type="dxa" w:w="35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Multi-company setup, Finance core, HR &amp; Payroll master data, access, approvals &amp; alerts</w:t>
            </w:r>
          </w:p>
        </w:tc>
        <w:tc>
          <w:tcPr>
            <w:tcW w:type="dxa" w:w="33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Group structure, financial control and core people/master data from day one</w:t>
            </w:r>
          </w:p>
        </w:tc>
      </w:tr>
      <w:tr>
        <w:tc>
          <w:tcPr>
            <w:tcW w:type="dxa" w:w="25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Phase 2 — Commercial &amp; Supply</w:t>
            </w:r>
          </w:p>
        </w:tc>
        <w:tc>
          <w:tcPr>
            <w:tcW w:type="dxa" w:w="35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CRM &amp; Estimation, Inventory &amp; SCM, customer &amp; vendor portals</w:t>
            </w:r>
          </w:p>
        </w:tc>
        <w:tc>
          <w:tcPr>
            <w:tcW w:type="dxa" w:w="33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Faster quotations plus purchasing and stock control</w:t>
            </w:r>
          </w:p>
        </w:tc>
      </w:tr>
      <w:tr>
        <w:tc>
          <w:tcPr>
            <w:tcW w:type="dxa" w:w="25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Phase 3 — Delivery &amp; Safety</w:t>
            </w:r>
          </w:p>
        </w:tc>
        <w:tc>
          <w:tcPr>
            <w:tcW w:type="dxa" w:w="35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Projects, HSE, attendance &amp; project timesheets, mobile app</w:t>
            </w:r>
          </w:p>
        </w:tc>
        <w:tc>
          <w:tcPr>
            <w:tcW w:type="dxa" w:w="33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Connected project delivery; compliance and site safety digitised</w:t>
            </w:r>
          </w:p>
        </w:tc>
      </w:tr>
      <w:tr>
        <w:tc>
          <w:tcPr>
            <w:tcW w:type="dxa" w:w="25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Phase 4 — Insight</w:t>
            </w:r>
          </w:p>
        </w:tc>
        <w:tc>
          <w:tcPr>
            <w:tcW w:type="dxa" w:w="35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Executive dashboards, earned value, advanced analytics</w:t>
            </w:r>
          </w:p>
        </w:tc>
        <w:tc>
          <w:tcPr>
            <w:tcW w:type="dxa" w:w="33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Real-time, board-level visibility and forecasting (per company and consolidated)</w:t>
            </w:r>
          </w:p>
        </w:tc>
      </w:tr>
    </w:tbl>
    <w:p>
      <w:pPr>
        <w:spacing w:after="60"/>
      </w:pPr>
      <w:r>
        <w:rPr>
          <w:rFonts w:ascii="Calibri" w:cs="Calibri" w:eastAsia="Calibri" w:hAnsi="Calibri"/>
          <w:b w:val="false"/>
          <w:bCs w:val="false"/>
          <w:i w:val="false"/>
          <w:iCs w:val="false"/>
          <w:caps w:val="false"/>
          <w:color w:val="222222"/>
          <w:sz w:val="21"/>
          <w:szCs w:val="21"/>
        </w:rPr>
        <w:t xml:space="preserve"/>
      </w:r>
    </w:p>
    <w:tbl>
      <w:tblPr>
        <w:tblW w:type="dxa" w:w="9360"/>
        <w:tblBorders>
          <w:top w:val="single" w:color="2E8C8C" w:sz="4"/>
          <w:left w:val="single" w:color="2E8C8C" w:sz="30"/>
          <w:bottom w:val="single" w:color="2E8C8C" w:sz="4"/>
          <w:right w:val="single" w:color="2E8C8C" w:sz="4"/>
          <w:insideH w:val="none"/>
          <w:insideV w:val="none"/>
        </w:tblBorders>
      </w:tblPr>
      <w:tblGrid>
        <w:gridCol w:w="9360"/>
      </w:tblGrid>
      <w:tr>
        <w:tc>
          <w:tcPr>
            <w:tcW w:type="dxa" w:w="9360"/>
            <w:shd w:fill="F2FAFA" w:color="auto" w:val="clear"/>
            <w:tcMar>
              <w:top w:type="dxa" w:w="60"/>
              <w:left w:type="dxa" w:w="110"/>
              <w:bottom w:type="dxa" w:w="60"/>
              <w:right w:type="dxa" w:w="110"/>
            </w:tcMar>
            <w:vAlign w:val="center"/>
          </w:tcPr>
          <w:p>
            <w:pPr>
              <w:spacing w:after="40"/>
            </w:pPr>
            <w:r>
              <w:rPr>
                <w:rFonts w:ascii="Calibri" w:cs="Calibri" w:eastAsia="Calibri" w:hAnsi="Calibri"/>
                <w:b/>
                <w:bCs/>
                <w:i w:val="false"/>
                <w:iCs w:val="false"/>
                <w:caps/>
                <w:color w:val="2E8C8C"/>
                <w:sz w:val="20"/>
                <w:szCs w:val="20"/>
              </w:rPr>
              <w:t xml:space="preserve">Note on the roadmap</w:t>
            </w:r>
          </w:p>
          <w:p>
            <w:pPr>
              <w:spacing w:after="0"/>
            </w:pPr>
            <w:r>
              <w:rPr>
                <w:rFonts w:ascii="Calibri" w:cs="Calibri" w:eastAsia="Calibri" w:hAnsi="Calibri"/>
                <w:b w:val="false"/>
                <w:bCs w:val="false"/>
                <w:i w:val="false"/>
                <w:iCs w:val="false"/>
                <w:caps w:val="false"/>
                <w:color w:val="2B2B2B"/>
                <w:sz w:val="20"/>
                <w:szCs w:val="20"/>
              </w:rPr>
              <w:t xml:space="preserve">This four-phase plan supersedes the earlier sequence, per client feedback. The multi-company foundation, master data and approval/alert engines are built in Phase 1 so that every later phase inherits them. Phase membership remains adjustable during detailed planning.</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12.  Glossary of Terms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6760"/>
      </w:tblGrid>
      <w:tr>
        <w:trPr>
          <w:tblHeader/>
        </w:trPr>
        <w:tc>
          <w:tcPr>
            <w:tcW w:type="dxa" w:w="26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Term</w:t>
            </w:r>
          </w:p>
        </w:tc>
        <w:tc>
          <w:tcPr>
            <w:tcW w:type="dxa" w:w="67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Meaning</w:t>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ERP</w:t>
            </w:r>
          </w:p>
        </w:tc>
        <w:tc>
          <w:tcPr>
            <w:tcW w:type="dxa" w:w="6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Enterprise Resource Planning — one integrated system across all departments</w:t>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Multi-company</w:t>
            </w:r>
          </w:p>
        </w:tc>
        <w:tc>
          <w:tcPr>
            <w:tcW w:type="dxa" w:w="6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One ERP running several legal companies, each with its own books, plus a consolidated group view</w:t>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Inter-company</w:t>
            </w:r>
          </w:p>
        </w:tc>
        <w:tc>
          <w:tcPr>
            <w:tcW w:type="dxa" w:w="6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A transaction between two group companies (e.g. one hires manpower or tools to another)</w:t>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Consolidation</w:t>
            </w:r>
          </w:p>
        </w:tc>
        <w:tc>
          <w:tcPr>
            <w:tcW w:type="dxa" w:w="6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Combining all group companies' accounts into one group financial statement, removing inter-company amounts</w:t>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MR / MRN</w:t>
            </w:r>
          </w:p>
        </w:tc>
        <w:tc>
          <w:tcPr>
            <w:tcW w:type="dxa" w:w="6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Material Request / Material Return Note</w:t>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PO / RFQ</w:t>
            </w:r>
          </w:p>
        </w:tc>
        <w:tc>
          <w:tcPr>
            <w:tcW w:type="dxa" w:w="6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Purchase Order / Request for Quotation</w:t>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GRN</w:t>
            </w:r>
          </w:p>
        </w:tc>
        <w:tc>
          <w:tcPr>
            <w:tcW w:type="dxa" w:w="6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Goods Receipt Note — record of materials received</w:t>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BOQ / MTO</w:t>
            </w:r>
          </w:p>
        </w:tc>
        <w:tc>
          <w:tcPr>
            <w:tcW w:type="dxa" w:w="6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Bill of Quantities / Material Take-Off</w:t>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SCM / SRM</w:t>
            </w:r>
          </w:p>
        </w:tc>
        <w:tc>
          <w:tcPr>
            <w:tcW w:type="dxa" w:w="6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Supply Chain Management / Supplier Relationship Management</w:t>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OTIF</w:t>
            </w:r>
          </w:p>
        </w:tc>
        <w:tc>
          <w:tcPr>
            <w:tcW w:type="dxa" w:w="6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On-Time In-Full — a vendor delivery performance measure</w:t>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WIP</w:t>
            </w:r>
          </w:p>
        </w:tc>
        <w:tc>
          <w:tcPr>
            <w:tcW w:type="dxa" w:w="6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Work-in-Progress — value of work done but not yet invoiced</w:t>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CPI / EAC</w:t>
            </w:r>
          </w:p>
        </w:tc>
        <w:tc>
          <w:tcPr>
            <w:tcW w:type="dxa" w:w="6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Cost Performance Index / Estimate at Completion</w:t>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PTW</w:t>
            </w:r>
          </w:p>
        </w:tc>
        <w:tc>
          <w:tcPr>
            <w:tcW w:type="dxa" w:w="6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Permit to Work — authorisation for high-risk activities</w:t>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RCA / CAPA</w:t>
            </w:r>
          </w:p>
        </w:tc>
        <w:tc>
          <w:tcPr>
            <w:tcW w:type="dxa" w:w="6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Root-Cause Analysis / Corrective &amp; Preventive Action</w:t>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ITP / NDT / MTC</w:t>
            </w:r>
          </w:p>
        </w:tc>
        <w:tc>
          <w:tcPr>
            <w:tcW w:type="dxa" w:w="6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Inspection Test Plan / Non-Destructive Testing / Mill Test Certificate</w:t>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FOC</w:t>
            </w:r>
          </w:p>
        </w:tc>
        <w:tc>
          <w:tcPr>
            <w:tcW w:type="dxa" w:w="6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Free of Cost — client-supplied materials model</w:t>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LOP / Comp-Off</w:t>
            </w:r>
          </w:p>
        </w:tc>
        <w:tc>
          <w:tcPr>
            <w:tcW w:type="dxa" w:w="67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Loss of Pay (unpaid leave) / Compensatory Off</w:t>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MoSCoW</w:t>
            </w:r>
          </w:p>
        </w:tc>
        <w:tc>
          <w:tcPr>
            <w:tcW w:type="dxa" w:w="67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Prioritisation method: Must / Should / Could / Won't have</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13.  Approval &amp; Sign-off</w:t>
      </w:r>
    </w:p>
    <w:p>
      <w:pPr>
        <w:spacing w:after="140" w:before="0" w:line="276"/>
      </w:pPr>
      <w:r>
        <w:rPr>
          <w:rFonts w:ascii="Calibri" w:cs="Calibri" w:eastAsia="Calibri" w:hAnsi="Calibri"/>
          <w:b w:val="false"/>
          <w:bCs w:val="false"/>
          <w:i w:val="false"/>
          <w:iCs w:val="false"/>
          <w:caps w:val="false"/>
          <w:color w:val="2B2B2B"/>
          <w:sz w:val="21"/>
          <w:szCs w:val="21"/>
        </w:rPr>
        <w:t xml:space="preserve">This Business Requirements Document has been approved and baselined by the White &amp; Bright Group. The signatures below confirm that it accurately captures the business requirements for the White &amp; Bright Group ERP and authorise the next stage of solution design. From this point, changes are managed through formal change control.</w:t>
      </w:r>
    </w:p>
    <w:p>
      <w:pPr>
        <w:spacing w:after="120"/>
      </w:pPr>
      <w:r>
        <w:rPr>
          <w:rFonts w:ascii="Calibri" w:cs="Calibri" w:eastAsia="Calibri" w:hAnsi="Calibri"/>
          <w:b w:val="false"/>
          <w:bCs w:val="false"/>
          <w:i w:val="false"/>
          <w:iCs w:val="false"/>
          <w:caps w:val="false"/>
          <w:color w:val="222222"/>
          <w:sz w:val="21"/>
          <w:szCs w:val="21"/>
        </w:rPr>
        <w:t xml:space="preserve"/>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3160"/>
        <w:gridCol w:w="2200"/>
        <w:gridCol w:w="1400"/>
      </w:tblGrid>
      <w:tr>
        <w:trPr>
          <w:tblHeader/>
        </w:trPr>
        <w:tc>
          <w:tcPr>
            <w:tcW w:type="dxa" w:w="26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Name</w:t>
            </w:r>
          </w:p>
        </w:tc>
        <w:tc>
          <w:tcPr>
            <w:tcW w:type="dxa" w:w="316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Role</w:t>
            </w:r>
          </w:p>
        </w:tc>
        <w:tc>
          <w:tcPr>
            <w:tcW w:type="dxa" w:w="22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Signature</w:t>
            </w:r>
          </w:p>
        </w:tc>
        <w:tc>
          <w:tcPr>
            <w:tcW w:type="dxa" w:w="1400"/>
            <w:shd w:fill="1F3B57" w:color="auto" w:val="clear"/>
            <w:tcMar>
              <w:top w:type="dxa" w:w="60"/>
              <w:left w:type="dxa" w:w="110"/>
              <w:bottom w:type="dxa" w:w="60"/>
              <w:right w:type="dxa" w:w="110"/>
            </w:tcMar>
            <w:vAlign w:val="center"/>
          </w:tcPr>
          <w:p>
            <w:pPr>
              <w:spacing w:after="0"/>
            </w:pPr>
            <w:r>
              <w:rPr>
                <w:rFonts w:ascii="Calibri" w:cs="Calibri" w:eastAsia="Calibri" w:hAnsi="Calibri"/>
                <w:b/>
                <w:bCs/>
                <w:i w:val="false"/>
                <w:iCs w:val="false"/>
                <w:caps w:val="false"/>
                <w:color w:val="FFFFFF"/>
                <w:sz w:val="20"/>
                <w:szCs w:val="20"/>
              </w:rPr>
              <w:t xml:space="preserve">Date</w:t>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31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Managing Director</w:t>
            </w:r>
          </w:p>
        </w:tc>
        <w:tc>
          <w:tcPr>
            <w:tcW w:type="dxa" w:w="22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1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31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Director</w:t>
            </w:r>
          </w:p>
        </w:tc>
        <w:tc>
          <w:tcPr>
            <w:tcW w:type="dxa" w:w="22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1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31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Operations Manager</w:t>
            </w:r>
          </w:p>
        </w:tc>
        <w:tc>
          <w:tcPr>
            <w:tcW w:type="dxa" w:w="22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1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31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Finance Controller</w:t>
            </w:r>
          </w:p>
        </w:tc>
        <w:tc>
          <w:tcPr>
            <w:tcW w:type="dxa" w:w="22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1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r>
      <w:tr>
        <w:tc>
          <w:tcPr>
            <w:tcW w:type="dxa" w:w="26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316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HR Manager</w:t>
            </w:r>
          </w:p>
        </w:tc>
        <w:tc>
          <w:tcPr>
            <w:tcW w:type="dxa" w:w="22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1400"/>
            <w:shd w:fill="FFFFFF"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r>
      <w:tr>
        <w:tc>
          <w:tcPr>
            <w:tcW w:type="dxa" w:w="26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316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Commercial / Estimation Head</w:t>
            </w:r>
          </w:p>
        </w:tc>
        <w:tc>
          <w:tcPr>
            <w:tcW w:type="dxa" w:w="22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c>
          <w:tcPr>
            <w:tcW w:type="dxa" w:w="1400"/>
            <w:shd w:fill="F4F8FC" w:color="auto" w:val="clear"/>
            <w:tcMar>
              <w:top w:type="dxa" w:w="60"/>
              <w:left w:type="dxa" w:w="110"/>
              <w:bottom w:type="dxa" w:w="60"/>
              <w:right w:type="dxa" w:w="110"/>
            </w:tcMar>
            <w:vAlign w:val="center"/>
          </w:tcPr>
          <w:p>
            <w:pPr>
              <w:spacing w:after="0"/>
            </w:pPr>
            <w:r>
              <w:rPr>
                <w:rFonts w:ascii="Calibri" w:cs="Calibri" w:eastAsia="Calibri" w:hAnsi="Calibri"/>
                <w:b w:val="false"/>
                <w:bCs w:val="false"/>
                <w:i w:val="false"/>
                <w:iCs w:val="false"/>
                <w:caps w:val="false"/>
                <w:color w:val="2B2B2B"/>
                <w:sz w:val="19"/>
                <w:szCs w:val="19"/>
              </w:rPr>
              <w:t xml:space="preserve"/>
            </w:r>
          </w:p>
        </w:tc>
      </w:tr>
    </w:tbl>
    <w:p>
      <w:pPr>
        <w:spacing w:after="200"/>
      </w:pPr>
      <w:r>
        <w:rPr>
          <w:rFonts w:ascii="Calibri" w:cs="Calibri" w:eastAsia="Calibri" w:hAnsi="Calibri"/>
          <w:b w:val="false"/>
          <w:bCs w:val="false"/>
          <w:i w:val="false"/>
          <w:iCs w:val="false"/>
          <w:caps w:val="false"/>
          <w:color w:val="222222"/>
          <w:sz w:val="21"/>
          <w:szCs w:val="21"/>
        </w:rPr>
        <w:t xml:space="preserve"/>
      </w:r>
    </w:p>
    <w:p>
      <w:pPr>
        <w:spacing w:before="200"/>
        <w:jc w:val="center"/>
      </w:pPr>
      <w:r>
        <w:rPr>
          <w:rFonts w:ascii="Calibri" w:cs="Calibri" w:eastAsia="Calibri" w:hAnsi="Calibri"/>
          <w:b w:val="false"/>
          <w:bCs w:val="false"/>
          <w:i/>
          <w:iCs/>
          <w:caps w:val="false"/>
          <w:color w:val="6B7683"/>
          <w:sz w:val="18"/>
          <w:szCs w:val="18"/>
        </w:rPr>
        <w:t xml:space="preserve">— End of Business Requirements Document —</w:t>
      </w:r>
    </w:p>
    <w:sectPr>
      <w:headerReference w:type="default" r:id="rId7"/>
      <w:footerReference w:type="default" r:id="rId8"/>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5" w:sz="6" w:space="4"/>
      </w:pBdr>
      <w:tabs>
        <w:tab w:val="right" w:pos="9880"/>
      </w:tabs>
    </w:pPr>
    <w:r>
      <w:rPr>
        <w:rFonts w:ascii="Calibri" w:cs="Calibri" w:eastAsia="Calibri" w:hAnsi="Calibri"/>
        <w:b w:val="false"/>
        <w:bCs w:val="false"/>
        <w:i w:val="false"/>
        <w:iCs w:val="false"/>
        <w:caps w:val="false"/>
        <w:color w:val="6B7683"/>
        <w:sz w:val="16"/>
        <w:szCs w:val="16"/>
      </w:rPr>
      <w:t xml:space="preserve">Version 1.2 (Approved Baseline)  —  30 August 2026</w:t>
    </w:r>
    <w:r>
      <w:rPr>
        <w:rFonts w:ascii="Calibri" w:cs="Calibri" w:eastAsia="Calibri" w:hAnsi="Calibri"/>
        <w:color w:val="6B768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5" w:sz="6" w:space="4"/>
      </w:pBdr>
      <w:tabs>
        <w:tab w:val="right" w:pos="9880"/>
      </w:tabs>
    </w:pPr>
    <w:r>
      <w:rPr>
        <w:rFonts w:ascii="Calibri" w:cs="Calibri" w:eastAsia="Calibri" w:hAnsi="Calibri"/>
        <w:b w:val="false"/>
        <w:bCs w:val="false"/>
        <w:i w:val="false"/>
        <w:iCs w:val="false"/>
        <w:caps w:val="false"/>
        <w:color w:val="6B7683"/>
        <w:sz w:val="16"/>
        <w:szCs w:val="16"/>
      </w:rPr>
      <w:t xml:space="preserve">White &amp; Bright Group  |  ERP Business Requirements Document</w:t>
    </w:r>
    <w:r>
      <w:rPr>
        <w:rFonts w:ascii="Calibri" w:cs="Calibri" w:eastAsia="Calibri" w:hAnsi="Calibri"/>
        <w:color w:val="6B7683"/>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F6FB2"/>
      </w:rPr>
    </w:lvl>
    <w:lvl w:ilvl="1" w15:tentative="1">
      <w:start w:val="1"/>
      <w:numFmt w:val="bullet"/>
      <w:lvlText w:val="–"/>
      <w:lvlJc w:val="left"/>
      <w:pPr>
        <w:ind w:left="9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0"/>
      <w:szCs w:val="30"/>
    </w:rPr>
  </w:style>
  <w:style w:type="paragraph" w:styleId="Heading2">
    <w:name w:val="Heading 2"/>
    <w:basedOn w:val="Normal"/>
    <w:next w:val="Normal"/>
    <w:qFormat/>
    <w:rPr>
      <w:rFonts w:ascii="Calibri" w:cs="Calibri" w:eastAsia="Calibri" w:hAnsi="Calibri"/>
      <w:b/>
      <w:bCs/>
      <w:color w:val="2F6FB2"/>
      <w:sz w:val="24"/>
      <w:szCs w:val="24"/>
    </w:rPr>
  </w:style>
  <w:style w:type="paragraph" w:styleId="Heading3">
    <w:name w:val="Heading 3"/>
    <w:basedOn w:val="Normal"/>
    <w:next w:val="Normal"/>
    <w:qFormat/>
    <w:rPr>
      <w:rFonts w:ascii="Calibri" w:cs="Calibri" w:eastAsia="Calibri" w:hAnsi="Calibri"/>
      <w:b/>
      <w:bCs/>
      <w:color w:val="2E8C8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&amp; Bright ERP — Business Requirements Document</dc:title>
  <dc:creator>White &amp; Bright — Business Analysis</dc:creator>
  <dc:description>Business Requirements Document for the White &amp; Bright ERP system</dc:description>
  <cp:lastModifiedBy>Un-named</cp:lastModifiedBy>
  <cp:revision>1</cp:revision>
  <dcterms:created xsi:type="dcterms:W3CDTF">2026-08-30T13:08:40.353Z</dcterms:created>
  <dcterms:modified xsi:type="dcterms:W3CDTF">2026-08-30T13:08:40.353Z</dcterms:modified>
</cp:coreProperties>
</file>

<file path=docProps/custom.xml><?xml version="1.0" encoding="utf-8"?>
<Properties xmlns="http://schemas.openxmlformats.org/officeDocument/2006/custom-properties" xmlns:vt="http://schemas.openxmlformats.org/officeDocument/2006/docPropsVTypes"/>
</file>