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rFonts w:ascii="Calibri" w:cs="Calibri" w:eastAsia="Calibri" w:hAnsi="Calibri"/>
          <w:b/>
          <w:bCs/>
          <w:i w:val="false"/>
          <w:iCs w:val="false"/>
          <w:caps w:val="false"/>
          <w:color w:val="1F3B57"/>
          <w:sz w:val="58"/>
          <w:szCs w:val="58"/>
        </w:rPr>
        <w:t xml:space="preserve">WHITE &amp; BRIGHT</w:t>
      </w:r>
    </w:p>
    <w:p>
      <w:pPr>
        <w:spacing w:after="40" w:before="60"/>
        <w:jc w:val="center"/>
      </w:pPr>
      <w:r>
        <w:rPr>
          <w:rFonts w:ascii="Calibri" w:cs="Calibri" w:eastAsia="Calibri" w:hAnsi="Calibri"/>
          <w:b w:val="false"/>
          <w:bCs w:val="false"/>
          <w:i/>
          <w:iCs/>
          <w:caps w:val="false"/>
          <w:color w:val="2E8C8C"/>
          <w:sz w:val="22"/>
          <w:szCs w:val="22"/>
        </w:rPr>
        <w:t xml:space="preserve">Engineering  •  Fabrication  •  Erection  •  Maintenance</w:t>
      </w:r>
    </w:p>
    <w:p>
      <w:pPr>
        <w:pBdr>
          <w:bottom w:val="single" w:color="2F6FB2" w:sz="18" w:space="4"/>
        </w:pBdr>
        <w:spacing w:after="220" w:before="220"/>
      </w:pPr>
      <w:r>
        <w:rPr>
          <w:rFonts w:ascii="Calibri" w:cs="Calibri" w:eastAsia="Calibri" w:hAnsi="Calibri"/>
          <w:b w:val="false"/>
          <w:bCs w:val="false"/>
          <w:i w:val="false"/>
          <w:iCs w:val="false"/>
          <w:caps w:val="false"/>
          <w:color w:val="222222"/>
          <w:sz w:val="21"/>
          <w:szCs w:val="21"/>
        </w:rPr>
        <w:t xml:space="preserve"/>
      </w:r>
    </w:p>
    <w:p>
      <w:pPr>
        <w:spacing w:after="0" w:before="560"/>
        <w:jc w:val="center"/>
      </w:pPr>
      <w:r>
        <w:rPr>
          <w:rFonts w:ascii="Calibri" w:cs="Calibri" w:eastAsia="Calibri" w:hAnsi="Calibri"/>
          <w:b/>
          <w:bCs/>
          <w:i w:val="false"/>
          <w:iCs w:val="false"/>
          <w:caps w:val="false"/>
          <w:color w:val="2F6FB2"/>
          <w:sz w:val="38"/>
          <w:szCs w:val="38"/>
        </w:rPr>
        <w:t xml:space="preserve">FUNCTIONAL SPECIFICATION DOCUMENT</w:t>
      </w:r>
    </w:p>
    <w:p>
      <w:pPr>
        <w:spacing w:after="0" w:before="120"/>
        <w:jc w:val="center"/>
      </w:pPr>
      <w:r>
        <w:rPr>
          <w:rFonts w:ascii="Calibri" w:cs="Calibri" w:eastAsia="Calibri" w:hAnsi="Calibri"/>
          <w:b w:val="false"/>
          <w:bCs w:val="false"/>
          <w:i w:val="false"/>
          <w:iCs w:val="false"/>
          <w:caps w:val="false"/>
          <w:color w:val="1F3B57"/>
          <w:sz w:val="26"/>
          <w:szCs w:val="26"/>
        </w:rPr>
        <w:t xml:space="preserve">Enterprise Resource Planning (ERP) System</w:t>
      </w:r>
    </w:p>
    <w:p>
      <w:pPr>
        <w:spacing w:after="0" w:before="40"/>
        <w:jc w:val="center"/>
      </w:pPr>
      <w:r>
        <w:rPr>
          <w:rFonts w:ascii="Calibri" w:cs="Calibri" w:eastAsia="Calibri" w:hAnsi="Calibri"/>
          <w:b w:val="false"/>
          <w:bCs w:val="false"/>
          <w:i w:val="false"/>
          <w:iCs w:val="false"/>
          <w:caps w:val="false"/>
          <w:color w:val="6B7683"/>
          <w:sz w:val="17"/>
          <w:szCs w:val="17"/>
        </w:rPr>
        <w:t xml:space="preserve">Multi-Company Group  |  4-Phase Delivery  —  Finance · Inventory &amp; SCM · HR · CRM &amp; Estimation · Projects &amp; HSE · Finance</w:t>
      </w:r>
    </w:p>
    <w:p>
      <w:pPr>
        <w:spacing w:after="0" w:before="820"/>
      </w:pPr>
      <w:r>
        <w:rPr>
          <w:rFonts w:ascii="Calibri" w:cs="Calibri" w:eastAsia="Calibri" w:hAnsi="Calibri"/>
          <w:b w:val="false"/>
          <w:bCs w:val="false"/>
          <w:i w:val="false"/>
          <w:iCs w:val="false"/>
          <w:caps w:val="false"/>
          <w:color w:val="222222"/>
          <w:sz w:val="21"/>
          <w:szCs w:val="21"/>
        </w:rPr>
        <w:t xml:space="preserve"/>
      </w:r>
    </w:p>
    <w:tbl>
      <w:tblPr>
        <w:tblW w:type="dxa" w:w="9360"/>
        <w:jc w:val="center"/>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Document Title</w:t>
            </w:r>
          </w:p>
        </w:tc>
        <w:tc>
          <w:tcPr>
            <w:tcW w:type="dxa" w:w="6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9"/>
                <w:szCs w:val="19"/>
              </w:rPr>
              <w:t xml:space="preserve">Functional Specification Document — White &amp; Bright Group ERP</w:t>
            </w:r>
          </w:p>
        </w:tc>
      </w:tr>
      <w:t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Version</w:t>
            </w:r>
          </w:p>
        </w:tc>
        <w:tc>
          <w:tcPr>
            <w:tcW w:type="dxa" w:w="63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9"/>
                <w:szCs w:val="19"/>
              </w:rPr>
              <w:t xml:space="preserve">Draft 1.1</w:t>
            </w:r>
          </w:p>
        </w:tc>
      </w:tr>
      <w:t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Date</w:t>
            </w:r>
          </w:p>
        </w:tc>
        <w:tc>
          <w:tcPr>
            <w:tcW w:type="dxa" w:w="6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9"/>
                <w:szCs w:val="19"/>
              </w:rPr>
              <w:t xml:space="preserve">30 August 2026</w:t>
            </w:r>
          </w:p>
        </w:tc>
      </w:tr>
      <w:t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Based On</w:t>
            </w:r>
          </w:p>
        </w:tc>
        <w:tc>
          <w:tcPr>
            <w:tcW w:type="dxa" w:w="63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9"/>
                <w:szCs w:val="19"/>
              </w:rPr>
              <w:t xml:space="preserve">BRD v1.2 (Approved Baseline, 30 Aug 2026)</w:t>
            </w:r>
          </w:p>
        </w:tc>
      </w:tr>
      <w:t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Delivery Model</w:t>
            </w:r>
          </w:p>
        </w:tc>
        <w:tc>
          <w:tcPr>
            <w:tcW w:type="dxa" w:w="6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9"/>
                <w:szCs w:val="19"/>
              </w:rPr>
              <w:t xml:space="preserve">Four (4) Implementation Phases — Multi-Company Group</w:t>
            </w:r>
          </w:p>
        </w:tc>
      </w:tr>
      <w:t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Classification</w:t>
            </w:r>
          </w:p>
        </w:tc>
        <w:tc>
          <w:tcPr>
            <w:tcW w:type="dxa" w:w="63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9"/>
                <w:szCs w:val="19"/>
              </w:rPr>
              <w:t xml:space="preserve">Confidential — Internal Use Only</w:t>
            </w:r>
          </w:p>
        </w:tc>
      </w:tr>
      <w:t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Status</w:t>
            </w:r>
          </w:p>
        </w:tc>
        <w:tc>
          <w:tcPr>
            <w:tcW w:type="dxa" w:w="6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9"/>
                <w:szCs w:val="19"/>
              </w:rPr>
              <w:t xml:space="preserve">Aligned to approved BRD v1.2 — For Review</w:t>
            </w:r>
          </w:p>
        </w:tc>
      </w:tr>
    </w:tbl>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Document Control</w:t>
      </w:r>
    </w:p>
    <w:p>
      <w:pPr>
        <w:pStyle w:val="Heading3"/>
        <w:spacing w:after="80" w:before="180"/>
      </w:pPr>
      <w:r>
        <w:rPr>
          <w:rFonts w:ascii="Calibri" w:cs="Calibri" w:eastAsia="Calibri" w:hAnsi="Calibri"/>
          <w:b/>
          <w:bCs/>
          <w:i w:val="false"/>
          <w:iCs w:val="false"/>
          <w:caps w:val="false"/>
          <w:color w:val="2E8C8C"/>
          <w:sz w:val="21"/>
          <w:szCs w:val="21"/>
        </w:rPr>
        <w:t xml:space="preserve">Revision History</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000"/>
        <w:gridCol w:w="1400"/>
        <w:gridCol w:w="2600"/>
        <w:gridCol w:w="4360"/>
      </w:tblGrid>
      <w:tr>
        <w:trPr>
          <w:tblHeader/>
        </w:trPr>
        <w:tc>
          <w:tcPr>
            <w:tcW w:type="dxa" w:w="1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Version</w:t>
            </w:r>
          </w:p>
        </w:tc>
        <w:tc>
          <w:tcPr>
            <w:tcW w:type="dxa" w:w="14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Date</w:t>
            </w:r>
          </w:p>
        </w:tc>
        <w:tc>
          <w:tcPr>
            <w:tcW w:type="dxa" w:w="26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Author</w:t>
            </w:r>
          </w:p>
        </w:tc>
        <w:tc>
          <w:tcPr>
            <w:tcW w:type="dxa" w:w="43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Summary</w:t>
            </w:r>
          </w:p>
        </w:tc>
      </w:tr>
      <w:tr>
        <w:tc>
          <w:tcPr>
            <w:tcW w:type="dxa" w:w="1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1.0</w:t>
            </w:r>
          </w:p>
        </w:tc>
        <w:tc>
          <w:tcPr>
            <w:tcW w:type="dxa" w:w="1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19 Aug 2026</w:t>
            </w:r>
          </w:p>
        </w:tc>
        <w:tc>
          <w:tcPr>
            <w:tcW w:type="dxa" w:w="2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Business Analysis Team</w:t>
            </w:r>
          </w:p>
        </w:tc>
        <w:tc>
          <w:tcPr>
            <w:tcW w:type="dxa" w:w="4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Functional Specification derived from BRD v1.0, structured into 3 delivery phases</w:t>
            </w:r>
          </w:p>
        </w:tc>
      </w:tr>
      <w:tr>
        <w:tc>
          <w:tcPr>
            <w:tcW w:type="dxa" w:w="1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1.1</w:t>
            </w:r>
          </w:p>
        </w:tc>
        <w:tc>
          <w:tcPr>
            <w:tcW w:type="dxa" w:w="1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30 Aug 2026</w:t>
            </w:r>
          </w:p>
        </w:tc>
        <w:tc>
          <w:tcPr>
            <w:tcW w:type="dxa" w:w="2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Business Analysis Team</w:t>
            </w:r>
          </w:p>
        </w:tc>
        <w:tc>
          <w:tcPr>
            <w:tcW w:type="dxa" w:w="43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Aligned to approved BRD v1.2: added Multi-Company &amp; Group management, HR &amp; Admin Job Assignments, Director sign-off level, HR (supplied manpower, medical, project timesheets) and Project (types, subcontracts, extra work, progress) specs; re-mapped to four delivery phases</w:t>
            </w:r>
          </w:p>
        </w:tc>
      </w:tr>
    </w:tbl>
    <w:p>
      <w:pPr>
        <w:spacing w:after="80"/>
      </w:pPr>
      <w:r>
        <w:rPr>
          <w:rFonts w:ascii="Calibri" w:cs="Calibri" w:eastAsia="Calibri" w:hAnsi="Calibri"/>
          <w:b w:val="false"/>
          <w:bCs w:val="false"/>
          <w:i w:val="false"/>
          <w:iCs w:val="false"/>
          <w:caps w:val="false"/>
          <w:color w:val="222222"/>
          <w:sz w:val="21"/>
          <w:szCs w:val="21"/>
        </w:rPr>
        <w:t xml:space="preserve"/>
      </w:r>
    </w:p>
    <w:p>
      <w:pPr>
        <w:pStyle w:val="Heading3"/>
        <w:spacing w:after="80" w:before="180"/>
      </w:pPr>
      <w:r>
        <w:rPr>
          <w:rFonts w:ascii="Calibri" w:cs="Calibri" w:eastAsia="Calibri" w:hAnsi="Calibri"/>
          <w:b/>
          <w:bCs/>
          <w:i w:val="false"/>
          <w:iCs w:val="false"/>
          <w:caps w:val="false"/>
          <w:color w:val="2E8C8C"/>
          <w:sz w:val="21"/>
          <w:szCs w:val="21"/>
        </w:rPr>
        <w:t xml:space="preserve">Related Documents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300"/>
        <w:gridCol w:w="3400"/>
        <w:gridCol w:w="4660"/>
      </w:tblGrid>
      <w:tr>
        <w:trPr>
          <w:tblHeader/>
        </w:trPr>
        <w:tc>
          <w:tcPr>
            <w:tcW w:type="dxa" w:w="13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Ref</w:t>
            </w:r>
          </w:p>
        </w:tc>
        <w:tc>
          <w:tcPr>
            <w:tcW w:type="dxa" w:w="34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Document</w:t>
            </w:r>
          </w:p>
        </w:tc>
        <w:tc>
          <w:tcPr>
            <w:tcW w:type="dxa" w:w="46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Purpose</w:t>
            </w:r>
          </w:p>
        </w:tc>
      </w:tr>
      <w:tr>
        <w:tc>
          <w:tcPr>
            <w:tcW w:type="dxa" w:w="13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BRD v1.2</w:t>
            </w:r>
          </w:p>
        </w:tc>
        <w:tc>
          <w:tcPr>
            <w:tcW w:type="dxa" w:w="3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Business Requirements Document v1.2 (Approved Baseline)</w:t>
            </w:r>
          </w:p>
        </w:tc>
        <w:tc>
          <w:tcPr>
            <w:tcW w:type="dxa" w:w="46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Business needs, scope and objectives (parent document)</w:t>
            </w:r>
          </w:p>
        </w:tc>
      </w:tr>
      <w:tr>
        <w:tc>
          <w:tcPr>
            <w:tcW w:type="dxa" w:w="13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FSD v1.1</w:t>
            </w:r>
          </w:p>
        </w:tc>
        <w:tc>
          <w:tcPr>
            <w:tcW w:type="dxa" w:w="3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This document</w:t>
            </w:r>
          </w:p>
        </w:tc>
        <w:tc>
          <w:tcPr>
            <w:tcW w:type="dxa" w:w="46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Functional behaviour, workflows, rules and acceptance criteria</w:t>
            </w:r>
          </w:p>
        </w:tc>
      </w:tr>
    </w:tbl>
    <w:p>
      <w:pPr>
        <w:spacing w:after="80"/>
      </w:pPr>
      <w:r>
        <w:rPr>
          <w:rFonts w:ascii="Calibri" w:cs="Calibri" w:eastAsia="Calibri" w:hAnsi="Calibri"/>
          <w:b w:val="false"/>
          <w:bCs w:val="false"/>
          <w:i w:val="false"/>
          <w:iCs w:val="false"/>
          <w:caps w:val="false"/>
          <w:color w:val="222222"/>
          <w:sz w:val="21"/>
          <w:szCs w:val="21"/>
        </w:rPr>
        <w:t xml:space="preserve"/>
      </w:r>
    </w:p>
    <w:p>
      <w:pPr>
        <w:pStyle w:val="Heading3"/>
        <w:spacing w:after="80" w:before="180"/>
      </w:pPr>
      <w:r>
        <w:rPr>
          <w:rFonts w:ascii="Calibri" w:cs="Calibri" w:eastAsia="Calibri" w:hAnsi="Calibri"/>
          <w:b/>
          <w:bCs/>
          <w:i w:val="false"/>
          <w:iCs w:val="false"/>
          <w:caps w:val="false"/>
          <w:color w:val="2E8C8C"/>
          <w:sz w:val="21"/>
          <w:szCs w:val="21"/>
        </w:rPr>
        <w:t xml:space="preserve">Reading Guide</w:t>
      </w:r>
    </w:p>
    <w:p>
      <w:pPr>
        <w:spacing w:after="140" w:before="0" w:line="276"/>
      </w:pPr>
      <w:r>
        <w:rPr>
          <w:rFonts w:ascii="Calibri" w:cs="Calibri" w:eastAsia="Calibri" w:hAnsi="Calibri"/>
          <w:b w:val="false"/>
          <w:bCs w:val="false"/>
          <w:i w:val="false"/>
          <w:iCs w:val="false"/>
          <w:caps w:val="false"/>
          <w:color w:val="2B2B2B"/>
          <w:sz w:val="21"/>
          <w:szCs w:val="21"/>
        </w:rPr>
        <w:t xml:space="preserve">Each functional specification carries an FSD reference (e.g. FS-INV-01) that traces back to one or more BRD requirements. Every specification follows the same structure so it can be read consistently and used directly by the build team and testers: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636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Section</w:t>
            </w:r>
          </w:p>
        </w:tc>
        <w:tc>
          <w:tcPr>
            <w:tcW w:type="dxa" w:w="63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What it tells you</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Purpose</w:t>
            </w:r>
          </w:p>
        </w:tc>
        <w:tc>
          <w:tcPr>
            <w:tcW w:type="dxa" w:w="6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Why the feature exists, in one line</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Process Flow</w:t>
            </w:r>
          </w:p>
        </w:tc>
        <w:tc>
          <w:tcPr>
            <w:tcW w:type="dxa" w:w="63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The step-by-step behaviour the system must support</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Key Data Captured</w:t>
            </w:r>
          </w:p>
        </w:tc>
        <w:tc>
          <w:tcPr>
            <w:tcW w:type="dxa" w:w="6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The main information entered or stored</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Business Rules &amp; Validations</w:t>
            </w:r>
          </w:p>
        </w:tc>
        <w:tc>
          <w:tcPr>
            <w:tcW w:type="dxa" w:w="63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The logic, checks and constraints the system enforces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Status Lifecycle</w:t>
            </w:r>
          </w:p>
        </w:tc>
        <w:tc>
          <w:tcPr>
            <w:tcW w:type="dxa" w:w="6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How a record moves from one state to the next</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Outputs &amp; Notifications</w:t>
            </w:r>
          </w:p>
        </w:tc>
        <w:tc>
          <w:tcPr>
            <w:tcW w:type="dxa" w:w="63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Documents, reports and alerts the feature produces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Acceptance Criteria</w:t>
            </w:r>
          </w:p>
        </w:tc>
        <w:tc>
          <w:tcPr>
            <w:tcW w:type="dxa" w:w="6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The conditions that prove the feature works (used for testing / sign-off)</w:t>
            </w:r>
          </w:p>
        </w:tc>
      </w:tr>
    </w:tbl>
    <w:p>
      <w:pPr>
        <w:spacing w:after="60"/>
      </w:pPr>
      <w:r>
        <w:rPr>
          <w:rFonts w:ascii="Calibri" w:cs="Calibri" w:eastAsia="Calibri" w:hAnsi="Calibri"/>
          <w:b w:val="false"/>
          <w:bCs w:val="false"/>
          <w:i w:val="false"/>
          <w:iCs w:val="false"/>
          <w:caps w:val="false"/>
          <w:color w:val="222222"/>
          <w:sz w:val="21"/>
          <w:szCs w:val="21"/>
        </w:rPr>
        <w:t xml:space="preserve"/>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600"/>
        <w:gridCol w:w="7760"/>
      </w:tblGrid>
      <w:tr>
        <w:trPr>
          <w:tblHeader/>
        </w:trPr>
        <w:tc>
          <w:tcPr>
            <w:tcW w:type="dxa" w:w="16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Phase tag</w:t>
            </w:r>
          </w:p>
        </w:tc>
        <w:tc>
          <w:tcPr>
            <w:tcW w:type="dxa" w:w="77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1600"/>
            <w:shd w:fill="FFFFFF"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1F3B57"/>
                <w:sz w:val="19"/>
                <w:szCs w:val="19"/>
              </w:rPr>
              <w:t xml:space="preserve">P1</w:t>
            </w:r>
          </w:p>
        </w:tc>
        <w:tc>
          <w:tcPr>
            <w:tcW w:type="dxa" w:w="77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Phase 1 — Foundation (Platform, Multi-Company, Finance, HR &amp; Payroll master data)</w:t>
            </w:r>
          </w:p>
        </w:tc>
      </w:tr>
      <w:tr>
        <w:tc>
          <w:tcPr>
            <w:tcW w:type="dxa" w:w="1600"/>
            <w:shd w:fill="F4F8FC"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2F6FB2"/>
                <w:sz w:val="19"/>
                <w:szCs w:val="19"/>
              </w:rPr>
              <w:t xml:space="preserve">P2</w:t>
            </w:r>
          </w:p>
        </w:tc>
        <w:tc>
          <w:tcPr>
            <w:tcW w:type="dxa" w:w="77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Phase 2 — Commercial &amp; Supply (CRM &amp; Estimation, Inventory &amp; SCM, portals)</w:t>
            </w:r>
          </w:p>
        </w:tc>
      </w:tr>
      <w:tr>
        <w:tc>
          <w:tcPr>
            <w:tcW w:type="dxa" w:w="1600"/>
            <w:shd w:fill="FFFFFF"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2E8C8C"/>
                <w:sz w:val="19"/>
                <w:szCs w:val="19"/>
              </w:rPr>
              <w:t xml:space="preserve">P3</w:t>
            </w:r>
          </w:p>
        </w:tc>
        <w:tc>
          <w:tcPr>
            <w:tcW w:type="dxa" w:w="77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Phase 3 — Delivery &amp; Safety (Projects, HSE, attendance &amp; timesheets, mobile)</w:t>
            </w:r>
          </w:p>
        </w:tc>
      </w:tr>
      <w:tr>
        <w:tc>
          <w:tcPr>
            <w:tcW w:type="dxa" w:w="1600"/>
            <w:shd w:fill="F4F8FC"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7A5AA6"/>
                <w:sz w:val="19"/>
                <w:szCs w:val="19"/>
              </w:rPr>
              <w:t xml:space="preserve">P4</w:t>
            </w:r>
          </w:p>
        </w:tc>
        <w:tc>
          <w:tcPr>
            <w:tcW w:type="dxa" w:w="77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Phase 4 — Insight &amp; AI (dashboards, analytics, AI features)</w:t>
            </w:r>
          </w:p>
        </w:tc>
      </w:tr>
    </w:tbl>
    <w:tbl>
      <w:tblPr>
        <w:tblW w:type="dxa" w:w="9360"/>
        <w:tblBorders>
          <w:top w:val="single" w:color="2F6FB2" w:sz="4"/>
          <w:left w:val="single" w:color="2F6FB2" w:sz="30"/>
          <w:bottom w:val="single" w:color="2F6FB2" w:sz="4"/>
          <w:right w:val="single" w:color="2F6FB2" w:sz="4"/>
          <w:insideH w:val="none"/>
          <w:insideV w:val="none"/>
        </w:tblBorders>
      </w:tblPr>
      <w:tblGrid>
        <w:gridCol w:w="9360"/>
      </w:tblGrid>
      <w:tr>
        <w:tc>
          <w:tcPr>
            <w:tcW w:type="dxa" w:w="9360"/>
            <w:shd w:fill="EAF1F8" w:color="auto" w:val="clear"/>
            <w:tcMar>
              <w:top w:type="dxa" w:w="50"/>
              <w:left w:type="dxa" w:w="100"/>
              <w:bottom w:type="dxa" w:w="50"/>
              <w:right w:type="dxa" w:w="100"/>
            </w:tcMar>
            <w:vAlign w:val="center"/>
          </w:tcPr>
          <w:p>
            <w:pPr>
              <w:spacing w:after="40"/>
            </w:pPr>
            <w:r>
              <w:rPr>
                <w:rFonts w:ascii="Calibri" w:cs="Calibri" w:eastAsia="Calibri" w:hAnsi="Calibri"/>
                <w:b/>
                <w:bCs/>
                <w:i w:val="false"/>
                <w:iCs w:val="false"/>
                <w:caps/>
                <w:color w:val="2F6FB2"/>
                <w:sz w:val="19"/>
                <w:szCs w:val="19"/>
              </w:rPr>
              <w:t xml:space="preserve">Note on phasing</w:t>
            </w:r>
          </w:p>
          <w:p>
            <w:pPr>
              <w:spacing w:after="0"/>
            </w:pPr>
            <w:r>
              <w:rPr>
                <w:rFonts w:ascii="Calibri" w:cs="Calibri" w:eastAsia="Calibri" w:hAnsi="Calibri"/>
                <w:b w:val="false"/>
                <w:bCs w:val="false"/>
                <w:i w:val="false"/>
                <w:iCs w:val="false"/>
                <w:caps w:val="false"/>
                <w:color w:val="2B2B2B"/>
                <w:sz w:val="20"/>
                <w:szCs w:val="20"/>
              </w:rPr>
              <w:t xml:space="preserve">The four-phase grouping matches the approved BRD v1.2 roadmap. Phase membership is configurable — any feature can be moved between phases without changing its specification.</w:t>
            </w:r>
          </w:p>
        </w:tc>
      </w:tr>
    </w:tbl>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1.  Introduction</w:t>
      </w:r>
    </w:p>
    <w:p>
      <w:pPr>
        <w:pStyle w:val="Heading2"/>
        <w:spacing w:after="100" w:before="260"/>
      </w:pPr>
      <w:r>
        <w:rPr>
          <w:rFonts w:ascii="Calibri" w:cs="Calibri" w:eastAsia="Calibri" w:hAnsi="Calibri"/>
          <w:b/>
          <w:bCs/>
          <w:i w:val="false"/>
          <w:iCs w:val="false"/>
          <w:caps w:val="false"/>
          <w:color w:val="2F6FB2"/>
          <w:sz w:val="24"/>
          <w:szCs w:val="24"/>
        </w:rPr>
        <w:t xml:space="preserve">1.1  Purpose</w:t>
      </w:r>
    </w:p>
    <w:p>
      <w:pPr>
        <w:spacing w:after="140" w:before="0" w:line="276"/>
      </w:pPr>
      <w:r>
        <w:rPr>
          <w:rFonts w:ascii="Calibri" w:cs="Calibri" w:eastAsia="Calibri" w:hAnsi="Calibri"/>
          <w:b w:val="false"/>
          <w:bCs w:val="false"/>
          <w:i w:val="false"/>
          <w:iCs w:val="false"/>
          <w:caps w:val="false"/>
          <w:color w:val="2B2B2B"/>
          <w:sz w:val="21"/>
          <w:szCs w:val="21"/>
        </w:rPr>
        <w:t xml:space="preserve">This Functional Specification Document (FSD) translates the approved Business Requirements Document (BRD v1.2, baseline) for the White &amp; Bright Group ERP into precise, testable descriptions of how the system will behave. Where the BRD answers “what the business needs and why”, this FSD answers “how the system will work” — the workflows, data, rules, statuses, outputs and acceptance criteria for each feature. It covers the multi-company group solution across all group companies.</w:t>
      </w:r>
    </w:p>
    <w:p>
      <w:pPr>
        <w:pStyle w:val="Heading2"/>
        <w:spacing w:after="100" w:before="260"/>
      </w:pPr>
      <w:r>
        <w:rPr>
          <w:rFonts w:ascii="Calibri" w:cs="Calibri" w:eastAsia="Calibri" w:hAnsi="Calibri"/>
          <w:b/>
          <w:bCs/>
          <w:i w:val="false"/>
          <w:iCs w:val="false"/>
          <w:caps w:val="false"/>
          <w:color w:val="2F6FB2"/>
          <w:sz w:val="24"/>
          <w:szCs w:val="24"/>
        </w:rPr>
        <w:t xml:space="preserve">1.2  Intended Audience</w:t>
      </w:r>
    </w:p>
    <w:p>
      <w:pPr>
        <w:spacing w:after="140" w:before="0" w:line="276"/>
      </w:pPr>
      <w:r>
        <w:rPr>
          <w:rFonts w:ascii="Calibri" w:cs="Calibri" w:eastAsia="Calibri" w:hAnsi="Calibri"/>
          <w:b w:val="false"/>
          <w:bCs w:val="false"/>
          <w:i w:val="false"/>
          <w:iCs w:val="false"/>
          <w:caps w:val="false"/>
          <w:color w:val="2B2B2B"/>
          <w:sz w:val="21"/>
          <w:szCs w:val="21"/>
        </w:rPr>
        <w:t xml:space="preserve">Business owners and department heads (to confirm the system will behave as they expect), the ERP implementation/development team (to build to specification), and QA/testers (to verify each feature against its acceptance criteria).</w:t>
      </w:r>
    </w:p>
    <w:p>
      <w:pPr>
        <w:pStyle w:val="Heading2"/>
        <w:spacing w:after="100" w:before="260"/>
      </w:pPr>
      <w:r>
        <w:rPr>
          <w:rFonts w:ascii="Calibri" w:cs="Calibri" w:eastAsia="Calibri" w:hAnsi="Calibri"/>
          <w:b/>
          <w:bCs/>
          <w:i w:val="false"/>
          <w:iCs w:val="false"/>
          <w:caps w:val="false"/>
          <w:color w:val="2F6FB2"/>
          <w:sz w:val="24"/>
          <w:szCs w:val="24"/>
        </w:rPr>
        <w:t xml:space="preserve">1.3  Scope of this FSD</w:t>
      </w:r>
    </w:p>
    <w:p>
      <w:pPr>
        <w:spacing w:after="140" w:before="0" w:line="276"/>
      </w:pPr>
      <w:r>
        <w:rPr>
          <w:rFonts w:ascii="Calibri" w:cs="Calibri" w:eastAsia="Calibri" w:hAnsi="Calibri"/>
          <w:b w:val="false"/>
          <w:bCs w:val="false"/>
          <w:i w:val="false"/>
          <w:iCs w:val="false"/>
          <w:caps w:val="false"/>
          <w:color w:val="2B2B2B"/>
          <w:sz w:val="21"/>
          <w:szCs w:val="21"/>
        </w:rPr>
        <w:t xml:space="preserve">Covers Multi-Company &amp; Group Management plus all functional areas of the ERP — Finance &amp; Accounting, Inventory &amp; SCM, CRM &amp; Estimation, Projects, HSE and HR &amp; Admin — and the shared platform services (access control, approvals, notifications, documents, audit) and reporting. Delivery is organised into four phases. Detailed engineering/CAD design, shop-floor machine automation and third-party testing-instrument replacement remain out of scope, as stated in the BRD.</w:t>
      </w:r>
    </w:p>
    <w:p>
      <w:pPr>
        <w:pStyle w:val="Heading2"/>
        <w:spacing w:after="100" w:before="260"/>
      </w:pPr>
      <w:r>
        <w:rPr>
          <w:rFonts w:ascii="Calibri" w:cs="Calibri" w:eastAsia="Calibri" w:hAnsi="Calibri"/>
          <w:b/>
          <w:bCs/>
          <w:i w:val="false"/>
          <w:iCs w:val="false"/>
          <w:caps w:val="false"/>
          <w:color w:val="2F6FB2"/>
          <w:sz w:val="24"/>
          <w:szCs w:val="24"/>
        </w:rPr>
        <w:t xml:space="preserve">1.4  How Requirements are Traced</w:t>
      </w:r>
    </w:p>
    <w:p>
      <w:pPr>
        <w:spacing w:after="140" w:before="0" w:line="276"/>
      </w:pPr>
      <w:r>
        <w:rPr>
          <w:rFonts w:ascii="Calibri" w:cs="Calibri" w:eastAsia="Calibri" w:hAnsi="Calibri"/>
          <w:b w:val="false"/>
          <w:bCs w:val="false"/>
          <w:i w:val="false"/>
          <w:iCs w:val="false"/>
          <w:caps w:val="false"/>
          <w:color w:val="2B2B2B"/>
          <w:sz w:val="21"/>
          <w:szCs w:val="21"/>
        </w:rPr>
        <w:t xml:space="preserve">Every BRD requirement (e.g. INV-05) maps to one or more functional specifications (e.g. FS-INV-02). A complete traceability matrix is provided in Section 11 so that coverage can be confirmed and nothing is lost between the two documents.</w:t>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2.  Solution Overview</w:t>
      </w:r>
    </w:p>
    <w:p>
      <w:pPr>
        <w:pStyle w:val="Heading2"/>
        <w:spacing w:after="100" w:before="260"/>
      </w:pPr>
      <w:r>
        <w:rPr>
          <w:rFonts w:ascii="Calibri" w:cs="Calibri" w:eastAsia="Calibri" w:hAnsi="Calibri"/>
          <w:b/>
          <w:bCs/>
          <w:i w:val="false"/>
          <w:iCs w:val="false"/>
          <w:caps w:val="false"/>
          <w:color w:val="2F6FB2"/>
          <w:sz w:val="24"/>
          <w:szCs w:val="24"/>
        </w:rPr>
        <w:t xml:space="preserve">2.1  System Context</w:t>
      </w:r>
    </w:p>
    <w:p>
      <w:pPr>
        <w:spacing w:after="140" w:before="0" w:line="276"/>
      </w:pPr>
      <w:r>
        <w:rPr>
          <w:rFonts w:ascii="Calibri" w:cs="Calibri" w:eastAsia="Calibri" w:hAnsi="Calibri"/>
          <w:b w:val="false"/>
          <w:bCs w:val="false"/>
          <w:i w:val="false"/>
          <w:iCs w:val="false"/>
          <w:caps w:val="false"/>
          <w:color w:val="2B2B2B"/>
          <w:sz w:val="21"/>
          <w:szCs w:val="21"/>
        </w:rPr>
        <w:t xml:space="preserve">The ERP is a single, integrated, cloud-hosted platform accessed through a web browser and a mobile app. All modules share one database, so information entered once (for example, an approved estimate) flows automatically into the next process (project budget, purchasing, costing and invoicing) without re-keying.</w:t>
      </w:r>
    </w:p>
    <w:p>
      <w:pPr>
        <w:pStyle w:val="Heading2"/>
        <w:spacing w:after="100" w:before="260"/>
      </w:pPr>
      <w:r>
        <w:rPr>
          <w:rFonts w:ascii="Calibri" w:cs="Calibri" w:eastAsia="Calibri" w:hAnsi="Calibri"/>
          <w:b/>
          <w:bCs/>
          <w:i w:val="false"/>
          <w:iCs w:val="false"/>
          <w:caps w:val="false"/>
          <w:color w:val="2F6FB2"/>
          <w:sz w:val="24"/>
          <w:szCs w:val="24"/>
        </w:rPr>
        <w:t xml:space="preserve">2.2  Module Map &amp; Information Flow</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600"/>
        <w:gridCol w:w="2600"/>
        <w:gridCol w:w="3080"/>
        <w:gridCol w:w="3080"/>
      </w:tblGrid>
      <w:tr>
        <w:trPr>
          <w:tblHeader/>
        </w:trPr>
        <w:tc>
          <w:tcPr>
            <w:tcW w:type="dxa" w:w="6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w:t>
            </w:r>
          </w:p>
        </w:tc>
        <w:tc>
          <w:tcPr>
            <w:tcW w:type="dxa" w:w="26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Module</w:t>
            </w:r>
          </w:p>
        </w:tc>
        <w:tc>
          <w:tcPr>
            <w:tcW w:type="dxa" w:w="308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Consumes from</w:t>
            </w:r>
          </w:p>
        </w:tc>
        <w:tc>
          <w:tcPr>
            <w:tcW w:type="dxa" w:w="308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Produces for</w:t>
            </w:r>
          </w:p>
        </w:tc>
      </w:tr>
      <w:tr>
        <w:tc>
          <w:tcPr>
            <w:tcW w:type="dxa" w:w="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1</w:t>
            </w:r>
          </w:p>
        </w:tc>
        <w:tc>
          <w:tcPr>
            <w:tcW w:type="dxa" w:w="2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CRM &amp; Estimation</w:t>
            </w:r>
          </w:p>
        </w:tc>
        <w:tc>
          <w:tcPr>
            <w:tcW w:type="dxa" w:w="308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Customer enquiries</w:t>
            </w:r>
          </w:p>
        </w:tc>
        <w:tc>
          <w:tcPr>
            <w:tcW w:type="dxa" w:w="308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Projects (won jobs), Finance (contract value)</w:t>
            </w:r>
          </w:p>
        </w:tc>
      </w:tr>
      <w:tr>
        <w:tc>
          <w:tcPr>
            <w:tcW w:type="dxa" w:w="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2</w:t>
            </w:r>
          </w:p>
        </w:tc>
        <w:tc>
          <w:tcPr>
            <w:tcW w:type="dxa" w:w="2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Projects</w:t>
            </w:r>
          </w:p>
        </w:tc>
        <w:tc>
          <w:tcPr>
            <w:tcW w:type="dxa" w:w="308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CRM (awarded jobs)</w:t>
            </w:r>
          </w:p>
        </w:tc>
        <w:tc>
          <w:tcPr>
            <w:tcW w:type="dxa" w:w="308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Inventory (demand), HR (manpower), Finance (cost)</w:t>
            </w:r>
          </w:p>
        </w:tc>
      </w:tr>
      <w:tr>
        <w:tc>
          <w:tcPr>
            <w:tcW w:type="dxa" w:w="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3</w:t>
            </w:r>
          </w:p>
        </w:tc>
        <w:tc>
          <w:tcPr>
            <w:tcW w:type="dxa" w:w="2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Inventory &amp; SCM</w:t>
            </w:r>
          </w:p>
        </w:tc>
        <w:tc>
          <w:tcPr>
            <w:tcW w:type="dxa" w:w="308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Projects (material demand)</w:t>
            </w:r>
          </w:p>
        </w:tc>
        <w:tc>
          <w:tcPr>
            <w:tcW w:type="dxa" w:w="308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Finance (GRN/cost), Projects (issued materials)</w:t>
            </w:r>
          </w:p>
        </w:tc>
      </w:tr>
      <w:tr>
        <w:tc>
          <w:tcPr>
            <w:tcW w:type="dxa" w:w="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4</w:t>
            </w:r>
          </w:p>
        </w:tc>
        <w:tc>
          <w:tcPr>
            <w:tcW w:type="dxa" w:w="2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HR</w:t>
            </w:r>
          </w:p>
        </w:tc>
        <w:tc>
          <w:tcPr>
            <w:tcW w:type="dxa" w:w="308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Projects (manpower plan)</w:t>
            </w:r>
          </w:p>
        </w:tc>
        <w:tc>
          <w:tcPr>
            <w:tcW w:type="dxa" w:w="308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Finance (payroll cost), Projects (mobilised staff)</w:t>
            </w:r>
          </w:p>
        </w:tc>
      </w:tr>
      <w:tr>
        <w:tc>
          <w:tcPr>
            <w:tcW w:type="dxa" w:w="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5</w:t>
            </w:r>
          </w:p>
        </w:tc>
        <w:tc>
          <w:tcPr>
            <w:tcW w:type="dxa" w:w="2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HSE</w:t>
            </w:r>
          </w:p>
        </w:tc>
        <w:tc>
          <w:tcPr>
            <w:tcW w:type="dxa" w:w="308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Projects (site activities)</w:t>
            </w:r>
          </w:p>
        </w:tc>
        <w:tc>
          <w:tcPr>
            <w:tcW w:type="dxa" w:w="308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Projects (permits), Management (compliance)</w:t>
            </w:r>
          </w:p>
        </w:tc>
      </w:tr>
      <w:tr>
        <w:tc>
          <w:tcPr>
            <w:tcW w:type="dxa" w:w="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6</w:t>
            </w:r>
          </w:p>
        </w:tc>
        <w:tc>
          <w:tcPr>
            <w:tcW w:type="dxa" w:w="2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Finance</w:t>
            </w:r>
          </w:p>
        </w:tc>
        <w:tc>
          <w:tcPr>
            <w:tcW w:type="dxa" w:w="308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All modules (cost &amp; revenue)</w:t>
            </w:r>
          </w:p>
        </w:tc>
        <w:tc>
          <w:tcPr>
            <w:tcW w:type="dxa" w:w="308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Management (profit, cash flow)</w:t>
            </w:r>
          </w:p>
        </w:tc>
      </w:tr>
    </w:tbl>
    <w:p>
      <w:pPr>
        <w:pStyle w:val="Heading2"/>
        <w:spacing w:after="100" w:before="260"/>
      </w:pPr>
      <w:r>
        <w:rPr>
          <w:rFonts w:ascii="Calibri" w:cs="Calibri" w:eastAsia="Calibri" w:hAnsi="Calibri"/>
          <w:b/>
          <w:bCs/>
          <w:i w:val="false"/>
          <w:iCs w:val="false"/>
          <w:caps w:val="false"/>
          <w:color w:val="2F6FB2"/>
          <w:sz w:val="24"/>
          <w:szCs w:val="24"/>
        </w:rPr>
        <w:t xml:space="preserve">2.3  Platform (Cross-Module) Services</w:t>
      </w:r>
    </w:p>
    <w:p>
      <w:pPr>
        <w:spacing w:after="140" w:before="0" w:line="276"/>
      </w:pPr>
      <w:r>
        <w:rPr>
          <w:rFonts w:ascii="Calibri" w:cs="Calibri" w:eastAsia="Calibri" w:hAnsi="Calibri"/>
          <w:b w:val="false"/>
          <w:bCs w:val="false"/>
          <w:i w:val="false"/>
          <w:iCs w:val="false"/>
          <w:caps w:val="false"/>
          <w:color w:val="2B2B2B"/>
          <w:sz w:val="21"/>
          <w:szCs w:val="21"/>
        </w:rPr>
        <w:t xml:space="preserve">Shared services underpin every module and are delivered in Phase 1 as the foundation: Multi-Company &amp; Group Management, Role-Based Access Control, the Approval Workflow engine, the Notification &amp; Alerts engine, Document Management, the Audit Trail, and standard Document Numbering. These are specified in Section 4.</w:t>
      </w:r>
    </w:p>
    <w:p>
      <w:pPr>
        <w:pStyle w:val="Heading2"/>
        <w:spacing w:after="100" w:before="260"/>
      </w:pPr>
      <w:r>
        <w:rPr>
          <w:rFonts w:ascii="Calibri" w:cs="Calibri" w:eastAsia="Calibri" w:hAnsi="Calibri"/>
          <w:b/>
          <w:bCs/>
          <w:i w:val="false"/>
          <w:iCs w:val="false"/>
          <w:caps w:val="false"/>
          <w:color w:val="2F6FB2"/>
          <w:sz w:val="24"/>
          <w:szCs w:val="24"/>
        </w:rPr>
        <w:t xml:space="preserve">2.4  Technology Assumptions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Cloud-hosted, browser-based application with a companion mobile app for site staff.</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Integration interfaces for biometric attendance devices and email/SMS/WhatsApp gateways.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Configuration-first approach: workflows, approval levels and rules are set up by configuration rather than custom code wherever possible.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Multi-currency and country-configurable tax/statutory rules.</w:t>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3.  Phased Delivery Plan</w:t>
      </w:r>
    </w:p>
    <w:p>
      <w:pPr>
        <w:spacing w:after="140" w:before="0" w:line="276"/>
      </w:pPr>
      <w:r>
        <w:rPr>
          <w:rFonts w:ascii="Calibri" w:cs="Calibri" w:eastAsia="Calibri" w:hAnsi="Calibri"/>
          <w:b w:val="false"/>
          <w:bCs w:val="false"/>
          <w:i w:val="false"/>
          <w:iCs w:val="false"/>
          <w:caps w:val="false"/>
          <w:color w:val="2B2B2B"/>
          <w:sz w:val="21"/>
          <w:szCs w:val="21"/>
        </w:rPr>
        <w:t xml:space="preserve">The programme is delivered in four phases, matching the approved BRD v1.2 roadmap. Each phase is independently usable and builds on the previous one. The multi-company group foundation is established in Phase 1 and applies to all later phases.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200"/>
        <w:gridCol w:w="3560"/>
        <w:gridCol w:w="3600"/>
      </w:tblGrid>
      <w:tr>
        <w:trPr>
          <w:tblHeader/>
        </w:trPr>
        <w:tc>
          <w:tcPr>
            <w:tcW w:type="dxa" w:w="22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Phase</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Scope</w:t>
            </w:r>
          </w:p>
        </w:tc>
        <w:tc>
          <w:tcPr>
            <w:tcW w:type="dxa" w:w="36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Key outcomes</w:t>
            </w:r>
          </w:p>
        </w:tc>
      </w:tr>
      <w:tr>
        <w:tc>
          <w:tcPr>
            <w:tcW w:type="dxa" w:w="2200"/>
            <w:shd w:fill="FFFFFF"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1F3B57"/>
                <w:sz w:val="18"/>
                <w:szCs w:val="18"/>
              </w:rPr>
              <w:t xml:space="preserve">Phase 1 — Foundation</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Platform services, Multi-Company &amp; Group, Finance &amp; Accounting, HR &amp; Payroll master data</w:t>
            </w:r>
          </w:p>
        </w:tc>
        <w:tc>
          <w:tcPr>
            <w:tcW w:type="dxa" w:w="3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Group structure, financial control, approvals, alerts and audit from day one</w:t>
            </w:r>
          </w:p>
        </w:tc>
      </w:tr>
      <w:tr>
        <w:tc>
          <w:tcPr>
            <w:tcW w:type="dxa" w:w="2200"/>
            <w:shd w:fill="F4F8FC"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2F6FB2"/>
                <w:sz w:val="18"/>
                <w:szCs w:val="18"/>
              </w:rPr>
              <w:t xml:space="preserve">Phase 2 — Commercial &amp; Supply</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CRM &amp; Estimation, Inventory &amp; SCM, customer &amp; vendor portals</w:t>
            </w:r>
          </w:p>
        </w:tc>
        <w:tc>
          <w:tcPr>
            <w:tcW w:type="dxa" w:w="3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Faster quotations plus purchasing and stock control</w:t>
            </w:r>
          </w:p>
        </w:tc>
      </w:tr>
      <w:tr>
        <w:tc>
          <w:tcPr>
            <w:tcW w:type="dxa" w:w="2200"/>
            <w:shd w:fill="FFFFFF"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2E8C8C"/>
                <w:sz w:val="18"/>
                <w:szCs w:val="18"/>
              </w:rPr>
              <w:t xml:space="preserve">Phase 3 — Delivery &amp; Safety</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Projects, HSE, attendance &amp; project timesheets, Job Assignments, mobile app</w:t>
            </w:r>
          </w:p>
        </w:tc>
        <w:tc>
          <w:tcPr>
            <w:tcW w:type="dxa" w:w="3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Connected project delivery; compliance and site safety digitised</w:t>
            </w:r>
          </w:p>
        </w:tc>
      </w:tr>
      <w:tr>
        <w:tc>
          <w:tcPr>
            <w:tcW w:type="dxa" w:w="2200"/>
            <w:shd w:fill="F4F8FC"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7A5AA6"/>
                <w:sz w:val="18"/>
                <w:szCs w:val="18"/>
              </w:rPr>
              <w:t xml:space="preserve">Phase 4 — Insight &amp; AI</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Executive dashboards, analytics and AI features</w:t>
            </w:r>
          </w:p>
        </w:tc>
        <w:tc>
          <w:tcPr>
            <w:tcW w:type="dxa" w:w="3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Real-time, board-level visibility (per company and consolidated)</w:t>
            </w:r>
          </w:p>
        </w:tc>
      </w:tr>
    </w:tbl>
    <w:p>
      <w:pPr>
        <w:spacing w:after="60"/>
      </w:pPr>
      <w:r>
        <w:rPr>
          <w:rFonts w:ascii="Calibri" w:cs="Calibri" w:eastAsia="Calibri" w:hAnsi="Calibri"/>
          <w:b w:val="false"/>
          <w:bCs w:val="false"/>
          <w:i w:val="false"/>
          <w:iCs w:val="false"/>
          <w:caps w:val="false"/>
          <w:color w:val="222222"/>
          <w:sz w:val="21"/>
          <w:szCs w:val="21"/>
        </w:rPr>
        <w:t xml:space="preserve"/>
      </w:r>
    </w:p>
    <w:p>
      <w:pPr>
        <w:pStyle w:val="Heading3"/>
        <w:spacing w:after="80" w:before="180"/>
      </w:pPr>
      <w:r>
        <w:rPr>
          <w:rFonts w:ascii="Calibri" w:cs="Calibri" w:eastAsia="Calibri" w:hAnsi="Calibri"/>
          <w:b/>
          <w:bCs/>
          <w:i w:val="false"/>
          <w:iCs w:val="false"/>
          <w:caps w:val="false"/>
          <w:color w:val="2E8C8C"/>
          <w:sz w:val="21"/>
          <w:szCs w:val="21"/>
        </w:rPr>
        <w:t xml:space="preserve">Phase Dependencies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Phase 1 establishes the group/company structure, master data (items, vendors, chart of accounts) and the approval/alert engines that all later phases reuse.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Phase 2 depends on Phase 1 Finance (contract value, costing) and feeds material demand from CRM/Projects.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Phase 3 depends on Phase 2 Inventory (material issue) and on Phase 1 Finance/HR master data for costing and payroll posting.</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Phase 4 aggregates data from all prior phases into dashboards and AI features.</w:t>
      </w:r>
    </w:p>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4.  Cross-Module Platform Services  (Phase 1)</w:t>
      </w:r>
    </w:p>
    <w:p>
      <w:pPr>
        <w:spacing w:after="120" w:before="0" w:line="276"/>
      </w:pPr>
      <w:r>
        <w:rPr>
          <w:rFonts w:ascii="Calibri" w:cs="Calibri" w:eastAsia="Calibri" w:hAnsi="Calibri"/>
          <w:b w:val="false"/>
          <w:bCs w:val="false"/>
          <w:i w:val="false"/>
          <w:iCs w:val="false"/>
          <w:caps w:val="false"/>
          <w:color w:val="2B2B2B"/>
          <w:sz w:val="21"/>
          <w:szCs w:val="21"/>
        </w:rPr>
        <w:t xml:space="preserve">These shared services are used by every module. They are built once in Phase 1 and referenced throughout the module specifications.</w:t>
      </w:r>
    </w:p>
    <w:p>
      <w:pPr>
        <w:pStyle w:val="Heading3"/>
        <w:keepNext/>
        <w:spacing w:after="60" w:before="240"/>
      </w:pPr>
      <w:r>
        <w:rPr>
          <w:rFonts w:ascii="Calibri" w:cs="Calibri" w:eastAsia="Calibri" w:hAnsi="Calibri"/>
          <w:b/>
          <w:bCs/>
          <w:i w:val="false"/>
          <w:iCs w:val="false"/>
          <w:caps w:val="false"/>
          <w:color w:val="1F3B57"/>
          <w:sz w:val="21"/>
          <w:szCs w:val="21"/>
        </w:rPr>
        <w:t xml:space="preserve">FS-GRP-01  </w:t>
      </w:r>
      <w:r>
        <w:rPr>
          <w:rFonts w:ascii="Calibri" w:cs="Calibri" w:eastAsia="Calibri" w:hAnsi="Calibri"/>
          <w:b/>
          <w:bCs/>
          <w:i w:val="false"/>
          <w:iCs w:val="false"/>
          <w:caps w:val="false"/>
          <w:color w:val="2E8C8C"/>
          <w:sz w:val="21"/>
          <w:szCs w:val="21"/>
        </w:rPr>
        <w:t xml:space="preserve">—  Multi-Company &amp; Group Management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GRP-01…09, FIN-05</w:t>
            </w:r>
          </w:p>
        </w:tc>
        <w:tc>
          <w:tcPr>
            <w:tcW w:type="dxa" w:w="1500"/>
            <w:shd w:fill="1F3B57"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P1</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System Administrator, Group/Company Directors, Finance</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Run all group companies (WB Engineering, WB Technical Services, Voice Technical Services and further entities) on one platform, each with its own books, while sharing resources and reporting on a consolidated basis.</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Administrator configures each legal company with its own master data, document numbering and books of account.</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A user signs in once (single login) and switches between the companies they are authorised for; access and data are scoped per company.</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A resource (manpower, tool, equipment, material) is shared/outsourced from one company to another; the movement is recorded against the receiving company and Project ID.</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The system raises the inter-company charge — a matching payable/receivable in each company.</w:t>
      </w:r>
    </w:p>
    <w:p>
      <w:pPr>
        <w:spacing w:after="40" w:line="264"/>
        <w:ind w:left="460" w:hanging="300"/>
      </w:pPr>
      <w:r>
        <w:rPr>
          <w:rFonts w:ascii="Calibri" w:cs="Calibri" w:eastAsia="Calibri" w:hAnsi="Calibri"/>
          <w:b/>
          <w:bCs/>
          <w:i w:val="false"/>
          <w:iCs w:val="false"/>
          <w:caps w:val="false"/>
          <w:color w:val="2F6FB2"/>
          <w:sz w:val="20"/>
          <w:szCs w:val="20"/>
        </w:rPr>
        <w:t xml:space="preserve">5.  </w:t>
      </w:r>
      <w:r>
        <w:rPr>
          <w:rFonts w:ascii="Calibri" w:cs="Calibri" w:eastAsia="Calibri" w:hAnsi="Calibri"/>
          <w:b w:val="false"/>
          <w:bCs w:val="false"/>
          <w:i w:val="false"/>
          <w:iCs w:val="false"/>
          <w:caps w:val="false"/>
          <w:color w:val="2B2B2B"/>
          <w:sz w:val="20"/>
          <w:szCs w:val="20"/>
        </w:rPr>
        <w:t xml:space="preserve">Finance reports each company separately and produces a consolidated group view with inter-company eliminations.</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Company profile, numbering scheme, base currency, book of accounts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User → company authorisations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Inter-company transaction: providing company, receiving company, resource, value, project</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Consolidation mapping &amp; elimination entries</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Every business transaction carries a company_id; users see only companies they are authorised for.</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Inter-company sharing always creates linked entries in both companies (never a single-sided cost).</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Consolidated reports eliminate inter-company balances to avoid double counting.</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Group-wide master data may be shared, but transactions remain company-specific.</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Requested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Share resource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Allocated (inter-company)</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Allocated</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Charge-out</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Billed to receiving company</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Billed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Settle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Closed</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Per-company financials, consolidated group statements, inter-company ledger, company-switch UI</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user sees only their authorised companies after a single login.</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Sharing a resource creates matching entries in both companies and posts cost to the correct company/project.</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Group consolidation removes inter-company amounts.</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1F3B57"/>
          <w:sz w:val="21"/>
          <w:szCs w:val="21"/>
        </w:rPr>
        <w:t xml:space="preserve">FS-PLT-01  </w:t>
      </w:r>
      <w:r>
        <w:rPr>
          <w:rFonts w:ascii="Calibri" w:cs="Calibri" w:eastAsia="Calibri" w:hAnsi="Calibri"/>
          <w:b/>
          <w:bCs/>
          <w:i w:val="false"/>
          <w:iCs w:val="false"/>
          <w:caps w:val="false"/>
          <w:color w:val="2E8C8C"/>
          <w:sz w:val="21"/>
          <w:szCs w:val="21"/>
        </w:rPr>
        <w:t xml:space="preserve">—  Role-Based Access Control (RBAC)</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ADD-07</w:t>
            </w:r>
          </w:p>
        </w:tc>
        <w:tc>
          <w:tcPr>
            <w:tcW w:type="dxa" w:w="1500"/>
            <w:shd w:fill="1F3B57"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P1</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System Administrator, All users</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Ensure each user sees and does only what their role permits, protecting sensitive HR, payroll and financial data.</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Administrator defines roles and assigns each user one or more roles.</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Each role is granted permissions per module and per action (Create, Read, Update, Delete, Approve).</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On login, the system loads the user’s effective permissions and hides unavailable menus, screens and buttons.</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Data scope is applied (e.g. a Site Engineer sees only their assigned projects/sites).</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User profile, role(s), assigned projects/sites/departments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Permission matrix (module × action)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Approval authority and value limits per role</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 user with no permission for an action cannot see or invoke it.</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Segregation of duties: the raiser of a document cannot be its sole approver.</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Value-based authority limits are enforced at approval (e.g. PO above a threshold requires Director).</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User access report; role-permission matrix export</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user is denied any screen/action outside their role.</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Site Engineer cannot view another site’s data.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Approval above a user’s value limit is blocked and routed upward.</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1F3B57"/>
          <w:sz w:val="21"/>
          <w:szCs w:val="21"/>
        </w:rPr>
        <w:t xml:space="preserve">FS-PLT-02  </w:t>
      </w:r>
      <w:r>
        <w:rPr>
          <w:rFonts w:ascii="Calibri" w:cs="Calibri" w:eastAsia="Calibri" w:hAnsi="Calibri"/>
          <w:b/>
          <w:bCs/>
          <w:i w:val="false"/>
          <w:iCs w:val="false"/>
          <w:caps w:val="false"/>
          <w:color w:val="2E8C8C"/>
          <w:sz w:val="21"/>
          <w:szCs w:val="21"/>
        </w:rPr>
        <w:t xml:space="preserve">—  Approval Workflow Engine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INV-03, INV-08, CRM-14, FIN-04, ADD-06, “Various Approvals”</w:t>
            </w:r>
          </w:p>
        </w:tc>
        <w:tc>
          <w:tcPr>
            <w:tcW w:type="dxa" w:w="1500"/>
            <w:shd w:fill="1F3B57"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P1</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Requesters, Approvers at each level, Administrator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Provide one configurable, auditable approval mechanism reused by MRs, POs, quotations, invoices, leave, visas and more.</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Administrator configures an approval matrix per document type: levels, approver role at each level, and value/condition thresholds.</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When a document is submitted, the engine determines the approval route and notifies the first approver.</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Approver reviews and Approves, Rejects (with reason) or Returns for correction; the engine advances or stops accordingly.</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On final approval the source document status changes and the next process is triggered; all actions are timestamped.</w:t>
      </w:r>
    </w:p>
    <w:p>
      <w:pPr>
        <w:spacing w:after="40" w:line="264"/>
        <w:ind w:left="460" w:hanging="300"/>
      </w:pPr>
      <w:r>
        <w:rPr>
          <w:rFonts w:ascii="Calibri" w:cs="Calibri" w:eastAsia="Calibri" w:hAnsi="Calibri"/>
          <w:b/>
          <w:bCs/>
          <w:i w:val="false"/>
          <w:iCs w:val="false"/>
          <w:caps w:val="false"/>
          <w:color w:val="2F6FB2"/>
          <w:sz w:val="20"/>
          <w:szCs w:val="20"/>
        </w:rPr>
        <w:t xml:space="preserve">5.  </w:t>
      </w:r>
      <w:r>
        <w:rPr>
          <w:rFonts w:ascii="Calibri" w:cs="Calibri" w:eastAsia="Calibri" w:hAnsi="Calibri"/>
          <w:b w:val="false"/>
          <w:bCs w:val="false"/>
          <w:i w:val="false"/>
          <w:iCs w:val="false"/>
          <w:caps w:val="false"/>
          <w:color w:val="2B2B2B"/>
          <w:sz w:val="20"/>
          <w:szCs w:val="20"/>
        </w:rPr>
        <w:t xml:space="preserve">Approvals are actionable from web, email link and mobile.</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Document type, value, project/department (route drivers)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Approver, decision, comment, date/time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Delegation/out-of-office substitute approver</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Routing is driven by document type and value; the management sign-off hierarchy is Project Manager → Operations Manager → Director → Managing Director (a Director level sits between Operations Manager and Managing Director).</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Rejection returns the document to the requester with a mandatory reason.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Escalation/reminder after a configurable SLA if no action is taken.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Full approval trail is retained and cannot be edited.</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Draft</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Submit</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Pending L1</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Pending L1</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Pending L2 / Approved</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Pending Ln</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Reject</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Rejected</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Pending Ln</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Return</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Draft (with comments)</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Approval notifications and reminders; approval history on the document; pending-approvals dashboard</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document follows exactly the configured route for its type and value.</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Every decision is captured with approver, timestamp and comment.</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Final approval automatically triggers the defined next step.</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1F3B57"/>
          <w:sz w:val="21"/>
          <w:szCs w:val="21"/>
        </w:rPr>
        <w:t xml:space="preserve">FS-PLT-03  </w:t>
      </w:r>
      <w:r>
        <w:rPr>
          <w:rFonts w:ascii="Calibri" w:cs="Calibri" w:eastAsia="Calibri" w:hAnsi="Calibri"/>
          <w:b/>
          <w:bCs/>
          <w:i w:val="false"/>
          <w:iCs w:val="false"/>
          <w:caps w:val="false"/>
          <w:color w:val="2E8C8C"/>
          <w:sz w:val="21"/>
          <w:szCs w:val="21"/>
        </w:rPr>
        <w:t xml:space="preserve">—  Notification &amp; Alerts Engine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ADD-04, INV-17, HR-13, HSE-05, INV-13</w:t>
            </w:r>
          </w:p>
        </w:tc>
        <w:tc>
          <w:tcPr>
            <w:tcW w:type="dxa" w:w="1500"/>
            <w:shd w:fill="1F3B57"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P1</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System, All users</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Deliver the right alert to the right person through email, SMS/WhatsApp and in-app, so nothing (reorder, expiry, approval) is missed.</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Modules register alert triggers (e.g. stock below minimum, calibration/certificate/visa expiry approaching, approval pending).</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The engine evaluates triggers on schedule or on event.</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Matching alerts are dispatched via the user’s configured channels and logged in an in-app inbox.</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Trigger type, threshold/lead-time, recipient role/user, channel(s)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Alert message, related record link, sent status</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Expiry alerts fire at configurable lead times (e.g. 30/15/7 days before).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Escalation to a supervisor if an alert is unactioned within the SLA.</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Users may set channel preferences within admin-defined limits.</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Email / SMS / WhatsApp / in-app notifications; alert log</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stock item crossing its minimum generates a reorder alert to Procurement.</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certificate/visa/calibration nearing expiry alerts the owner and HR/QA at the configured lead times.</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1F3B57"/>
          <w:sz w:val="21"/>
          <w:szCs w:val="21"/>
        </w:rPr>
        <w:t xml:space="preserve">FS-PLT-04  </w:t>
      </w:r>
      <w:r>
        <w:rPr>
          <w:rFonts w:ascii="Calibri" w:cs="Calibri" w:eastAsia="Calibri" w:hAnsi="Calibri"/>
          <w:b/>
          <w:bCs/>
          <w:i w:val="false"/>
          <w:iCs w:val="false"/>
          <w:caps w:val="false"/>
          <w:color w:val="2E8C8C"/>
          <w:sz w:val="21"/>
          <w:szCs w:val="21"/>
        </w:rPr>
        <w:t xml:space="preserve">—  Document Management &amp; Numbering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ADD-05, CRM-12, CRM-10</w:t>
            </w:r>
          </w:p>
        </w:tc>
        <w:tc>
          <w:tcPr>
            <w:tcW w:type="dxa" w:w="1500"/>
            <w:shd w:fill="1F3B57"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P1</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All users</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Store and version all attachments (drawings, MTCs, ITPs, POs, certificates, site reports) against the relevant record, with standard auto-numbering for every document type.</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User attaches a file to a record (project, vendor, employee, MR/PO/GRN, quotation).</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System versions the file and records who uploaded it and when.</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System auto-generates sequential, formatted reference numbers per document type and per year/project.</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Document type, version, uploader, date, linked record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Numbering format per document (prefix + project + running number)</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Numbering is unique, sequential and non-editable (e.g. MR/PRJ001/2026/0007).</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Superseded versions are retained and clearly marked.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Access to a document follows the RBAC of its parent record.</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Each new MR/PO/GRN/quotation receives a unique formatted number automatically.</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Re-uploading a document keeps prior versions retrievable.</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1F3B57"/>
          <w:sz w:val="21"/>
          <w:szCs w:val="21"/>
        </w:rPr>
        <w:t xml:space="preserve">FS-PLT-05  </w:t>
      </w:r>
      <w:r>
        <w:rPr>
          <w:rFonts w:ascii="Calibri" w:cs="Calibri" w:eastAsia="Calibri" w:hAnsi="Calibri"/>
          <w:b/>
          <w:bCs/>
          <w:i w:val="false"/>
          <w:iCs w:val="false"/>
          <w:caps w:val="false"/>
          <w:color w:val="2E8C8C"/>
          <w:sz w:val="21"/>
          <w:szCs w:val="21"/>
        </w:rPr>
        <w:t xml:space="preserve">—  Audit Trail</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ADD-07</w:t>
            </w:r>
          </w:p>
        </w:tc>
        <w:tc>
          <w:tcPr>
            <w:tcW w:type="dxa" w:w="1500"/>
            <w:shd w:fill="1F3B57"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P1</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System, Administrator, Auditors</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Record who did what and when on key transactions for governance and dispute resolution.</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On create/update/approve/delete of a key record, the system writes an immutable audit entry.</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Authorised users can view the audit history of a record and run audit reports.</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Record type &amp; id, action, before/after key values, user, timestamp</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Audit entries cannot be edited or deleted by any user.</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Sensitive fields (salary, price) log change events without exposing values to unauthorised roles.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Any change to a PO price, salary or approval is retrievable with user and timestamp.</w:t>
      </w:r>
    </w:p>
    <w:p>
      <w:pPr>
        <w:spacing w:after="60"/>
      </w:pPr>
      <w:r>
        <w:rPr>
          <w:rFonts w:ascii="Calibri" w:cs="Calibri" w:eastAsia="Calibri" w:hAnsi="Calibri"/>
          <w:b w:val="false"/>
          <w:bCs w:val="false"/>
          <w:i w:val="false"/>
          <w:iCs w:val="false"/>
          <w:caps w:val="false"/>
          <w:color w:val="222222"/>
          <w:sz w:val="21"/>
          <w:szCs w:val="21"/>
        </w:rPr>
        <w:t xml:space="preserve"/>
      </w:r>
    </w:p>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5.  Functional Specifications by Module</w:t>
      </w:r>
    </w:p>
    <w:p>
      <w:pPr>
        <w:pStyle w:val="Heading2"/>
        <w:spacing w:after="100" w:before="260"/>
      </w:pPr>
      <w:r>
        <w:rPr>
          <w:rFonts w:ascii="Calibri" w:cs="Calibri" w:eastAsia="Calibri" w:hAnsi="Calibri"/>
          <w:b/>
          <w:bCs/>
          <w:i w:val="false"/>
          <w:iCs w:val="false"/>
          <w:caps w:val="false"/>
          <w:color w:val="2F6FB2"/>
          <w:sz w:val="24"/>
          <w:szCs w:val="24"/>
        </w:rPr>
        <w:t xml:space="preserve">5.1  Finance &amp; Accounting  (Phase 1)</w:t>
      </w:r>
    </w:p>
    <w:p>
      <w:pPr>
        <w:pStyle w:val="Heading3"/>
        <w:keepNext/>
        <w:spacing w:after="60" w:before="240"/>
      </w:pPr>
      <w:r>
        <w:rPr>
          <w:rFonts w:ascii="Calibri" w:cs="Calibri" w:eastAsia="Calibri" w:hAnsi="Calibri"/>
          <w:b/>
          <w:bCs/>
          <w:i w:val="false"/>
          <w:iCs w:val="false"/>
          <w:caps w:val="false"/>
          <w:color w:val="1F3B57"/>
          <w:sz w:val="21"/>
          <w:szCs w:val="21"/>
        </w:rPr>
        <w:t xml:space="preserve">FS-FIN-01  </w:t>
      </w:r>
      <w:r>
        <w:rPr>
          <w:rFonts w:ascii="Calibri" w:cs="Calibri" w:eastAsia="Calibri" w:hAnsi="Calibri"/>
          <w:b/>
          <w:bCs/>
          <w:i w:val="false"/>
          <w:iCs w:val="false"/>
          <w:caps w:val="false"/>
          <w:color w:val="2E8C8C"/>
          <w:sz w:val="21"/>
          <w:szCs w:val="21"/>
        </w:rPr>
        <w:t xml:space="preserve">—  General Ledger, AP &amp; AR</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FIN-01</w:t>
            </w:r>
          </w:p>
        </w:tc>
        <w:tc>
          <w:tcPr>
            <w:tcW w:type="dxa" w:w="1500"/>
            <w:shd w:fill="1F3B57"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P1</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Finance/Accounts, Finance Controller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Provide the accounting backbone — chart of accounts, general ledger, accounts payable and accounts receivable — integrated with all modules.</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Maintain chart of accounts and cost centres (by project/discipline).</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Transactions from Inventory (GRN), Projects (cost) and Billing post automatically to the GL.</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Record supplier invoices (AP) and customer invoices (AR); manage payments and receipts.</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Period-end close with trial balance and financial statements.</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Account code, cost centre, project/WBS, amount, currency</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Supplier/customer, invoice no., due date, payment terms</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Every posting is double-entry and traceable to its source document.</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Multi-currency with configurable exchange rates.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 period, once closed, blocks back-dated postings unless reopened by authority.</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Trial balance, GL reports, AP/AR ageing, financial statements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posted GRN and a project cost both appear correctly in the GL and project cost.</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AP/AR ageing reconciles to the GL control accounts.</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1F3B57"/>
          <w:sz w:val="21"/>
          <w:szCs w:val="21"/>
        </w:rPr>
        <w:t xml:space="preserve">FS-FIN-02  </w:t>
      </w:r>
      <w:r>
        <w:rPr>
          <w:rFonts w:ascii="Calibri" w:cs="Calibri" w:eastAsia="Calibri" w:hAnsi="Calibri"/>
          <w:b/>
          <w:bCs/>
          <w:i w:val="false"/>
          <w:iCs w:val="false"/>
          <w:caps w:val="false"/>
          <w:color w:val="2E8C8C"/>
          <w:sz w:val="21"/>
          <w:szCs w:val="21"/>
        </w:rPr>
        <w:t xml:space="preserve">—  Job / Project Costing &amp; Activity-Based Costing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FIN-05, FIN-06, “Costing”</w:t>
            </w:r>
          </w:p>
        </w:tc>
        <w:tc>
          <w:tcPr>
            <w:tcW w:type="dxa" w:w="1500"/>
            <w:shd w:fill="1F3B57"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P1</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Finance, Project Manager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Capture all actual cost against the project budget so profitability is known in real time.</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Project budget is created from the approved estimate (WBS cost codes).</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Actual costs — materials (GRN/issues), labour (timesheets), subcontractor, equipment, indirects — post to the relevant cost code.</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Indirect/overhead costs are allocated to activities/projects by configured drivers (activity-based costing).</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Budget-vs-actual and committed cost (open POs) are tracked continuously.</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WBS cost code, budget, committed, actual, forecast</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Cost type (material/labour/subcontract/equipment/indirect)</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Costs always carry a project + cost code.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Committed cost = approved open POs not yet received.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Over-budget cost codes are flagged.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Actual vs. estimate variance available at project, discipline and cost-code level.</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Project cost report, budget-vs-actual, committed cost, cost-code drill-down</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Issuing material to a project increases that project’s actual cost against the correct code.</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cost code exceeding budget is visibly flagged.</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1F3B57"/>
          <w:sz w:val="21"/>
          <w:szCs w:val="21"/>
        </w:rPr>
        <w:t xml:space="preserve">FS-FIN-03  </w:t>
      </w:r>
      <w:r>
        <w:rPr>
          <w:rFonts w:ascii="Calibri" w:cs="Calibri" w:eastAsia="Calibri" w:hAnsi="Calibri"/>
          <w:b/>
          <w:bCs/>
          <w:i w:val="false"/>
          <w:iCs w:val="false"/>
          <w:caps w:val="false"/>
          <w:color w:val="2E8C8C"/>
          <w:sz w:val="21"/>
          <w:szCs w:val="21"/>
        </w:rPr>
        <w:t xml:space="preserve">—  WIP, Revenue Recognition &amp; Progress Billing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FIN-02, “Progress invoicing”</w:t>
            </w:r>
          </w:p>
        </w:tc>
        <w:tc>
          <w:tcPr>
            <w:tcW w:type="dxa" w:w="1500"/>
            <w:shd w:fill="1F3B57"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P1</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Finance Controller, Project Manager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Recognise revenue on long-running contracts and raise progress invoices tied to work completed.</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Project percentage-complete is derived from progress (cost-to-cost or milestone/measured work).</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System computes recognised revenue and Work-in-Progress (over/under billing).</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Progress invoice (IPC/RA bill) is generated for the certified work value and sent for approval.</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Approved invoice posts to AR and updates revenue/WIP.</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 complete, contract value, recognised revenue, billed to date, WIP</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Certified quantity/value, retention %</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Revenue recognised per the configured method (percentage-of-completion).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WIP = recognised revenue − amount billed.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Retention is withheld on each progress invoice at the contract rate.</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WIP report, revenue recognition schedule, progress invoice document</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Updating % complete recalculates recognised revenue and WIP.</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progress invoice correctly withholds retention and posts to AR.</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1F3B57"/>
          <w:sz w:val="21"/>
          <w:szCs w:val="21"/>
        </w:rPr>
        <w:t xml:space="preserve">FS-FIN-04  </w:t>
      </w:r>
      <w:r>
        <w:rPr>
          <w:rFonts w:ascii="Calibri" w:cs="Calibri" w:eastAsia="Calibri" w:hAnsi="Calibri"/>
          <w:b/>
          <w:bCs/>
          <w:i w:val="false"/>
          <w:iCs w:val="false"/>
          <w:caps w:val="false"/>
          <w:color w:val="2E8C8C"/>
          <w:sz w:val="21"/>
          <w:szCs w:val="21"/>
        </w:rPr>
        <w:t xml:space="preserve">—  Retention Management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FIN-03</w:t>
            </w:r>
          </w:p>
        </w:tc>
        <w:tc>
          <w:tcPr>
            <w:tcW w:type="dxa" w:w="1500"/>
            <w:shd w:fill="1F3B57"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P1</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Finance, Project Manager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Track amounts retained from clients and withheld from subcontractors, and their release schedules.</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System records retention withheld on each client invoice and each subcontractor certificate.</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Retention release dates are scheduled (e.g. 50% at handover, 50% after defect liability period).</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Alerts notify Finance when a retention release is due; release generates the appropriate invoice/payment.</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Retention %, amount held, release milestone/date, released amount, balance</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Client retention (receivable) and subcontractor retention (payable) tracked separately.</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Release is date/milestone driven with alerts.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Retention balances feed the cash-flow projection.</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Retention ledger (client &amp; subcontractor), upcoming releases report</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Every progress invoice updates the retention held balance.</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due retention release generates an alert and the correct document.</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1F3B57"/>
          <w:sz w:val="21"/>
          <w:szCs w:val="21"/>
        </w:rPr>
        <w:t xml:space="preserve">FS-FIN-05  </w:t>
      </w:r>
      <w:r>
        <w:rPr>
          <w:rFonts w:ascii="Calibri" w:cs="Calibri" w:eastAsia="Calibri" w:hAnsi="Calibri"/>
          <w:b/>
          <w:bCs/>
          <w:i w:val="false"/>
          <w:iCs w:val="false"/>
          <w:caps w:val="false"/>
          <w:color w:val="2E8C8C"/>
          <w:sz w:val="21"/>
          <w:szCs w:val="21"/>
        </w:rPr>
        <w:t xml:space="preserve">—  Cash-Flow Projection &amp; Financial Reporting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FIN-07, FIN-08, FIN-09</w:t>
            </w:r>
          </w:p>
        </w:tc>
        <w:tc>
          <w:tcPr>
            <w:tcW w:type="dxa" w:w="1500"/>
            <w:shd w:fill="1F3B57"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P1</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Finance Controller, Management</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Forecast cash and report profitability so management can steer the business.</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System combines AP payment schedules, AR + retention release dates and project milestones into a forward cash-flow.</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Project profitability (real-time income statement) is produced by project, discipline or WBS.</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Earned-value links Cost Performance Index (CPI) to forecast Estimate at Completion (EAC).</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Projected inflows/outflows by period, project margin, CPI, EAC</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Cash-flow horizon and granularity (weekly/monthly) are configurable.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Profitability excludes/includes indirects per configuration.</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Cash-flow projection, project profitability report, EAC forecast, executive summary</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Changing an AP due date or retention release date updates the projected cash-flow.</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Profitability is available by project and by discipline.</w:t>
      </w:r>
    </w:p>
    <w:p>
      <w:pPr>
        <w:spacing w:after="60"/>
      </w:pPr>
      <w:r>
        <w:rPr>
          <w:rFonts w:ascii="Calibri" w:cs="Calibri" w:eastAsia="Calibri" w:hAnsi="Calibri"/>
          <w:b w:val="false"/>
          <w:bCs w:val="false"/>
          <w:i w:val="false"/>
          <w:iCs w:val="false"/>
          <w:caps w:val="false"/>
          <w:color w:val="222222"/>
          <w:sz w:val="21"/>
          <w:szCs w:val="21"/>
        </w:rPr>
        <w:t xml:space="preserve"/>
      </w:r>
    </w:p>
    <w:p>
      <w:r>
        <w:br w:type="page"/>
      </w:r>
    </w:p>
    <w:p>
      <w:pPr>
        <w:pStyle w:val="Heading2"/>
        <w:spacing w:after="100" w:before="260"/>
      </w:pPr>
      <w:r>
        <w:rPr>
          <w:rFonts w:ascii="Calibri" w:cs="Calibri" w:eastAsia="Calibri" w:hAnsi="Calibri"/>
          <w:b/>
          <w:bCs/>
          <w:i w:val="false"/>
          <w:iCs w:val="false"/>
          <w:caps w:val="false"/>
          <w:color w:val="2F6FB2"/>
          <w:sz w:val="24"/>
          <w:szCs w:val="24"/>
        </w:rPr>
        <w:t xml:space="preserve">5.2  Inventory Management &amp; SCM  (Phase 2)</w:t>
      </w:r>
    </w:p>
    <w:p>
      <w:pPr>
        <w:pStyle w:val="Heading3"/>
        <w:keepNext/>
        <w:spacing w:after="60" w:before="240"/>
      </w:pPr>
      <w:r>
        <w:rPr>
          <w:rFonts w:ascii="Calibri" w:cs="Calibri" w:eastAsia="Calibri" w:hAnsi="Calibri"/>
          <w:b/>
          <w:bCs/>
          <w:i w:val="false"/>
          <w:iCs w:val="false"/>
          <w:caps w:val="false"/>
          <w:color w:val="2F6FB2"/>
          <w:sz w:val="21"/>
          <w:szCs w:val="21"/>
        </w:rPr>
        <w:t xml:space="preserve">FS-INV-01  </w:t>
      </w:r>
      <w:r>
        <w:rPr>
          <w:rFonts w:ascii="Calibri" w:cs="Calibri" w:eastAsia="Calibri" w:hAnsi="Calibri"/>
          <w:b/>
          <w:bCs/>
          <w:i w:val="false"/>
          <w:iCs w:val="false"/>
          <w:caps w:val="false"/>
          <w:color w:val="2E8C8C"/>
          <w:sz w:val="21"/>
          <w:szCs w:val="21"/>
        </w:rPr>
        <w:t xml:space="preserve">—  Material Request (MR) &amp; Stock Check</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INV-01, INV-02, INV-03, INV-04</w:t>
            </w:r>
          </w:p>
        </w:tc>
        <w:tc>
          <w:tcPr>
            <w:tcW w:type="dxa" w:w="1500"/>
            <w:shd w:fill="2F6FB2"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P2</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Site Engineer/Planner, Site In-Charge, Project Manager, Procurement</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Let sites request materials, auto-check stock, and route the request for approval.</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Site engineer raises an MR against a project, listing items and quantities.</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System checks current stock across relevant stores and flags shortfall vs. request.</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MR is routed for approval: Site In-Charge → Project Manager → Procurement.</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On approval, available stock is allocated/reserved and any shortfall is passed to procurement as demand.</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MR no., project, item, required qty, required date, purpose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Available stock, shortfall qty, allocation vs. purchase flag</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Every MR is linked to a project and cost code.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Stock availability is shown before approval.</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Approved shortfall automatically becomes purchasing demand (RFQ/PO).</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Draft</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Submit</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Pending Approval</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Pending Approval</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Approved</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Allocate/Procure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Fulfilled / In Procurement</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Pending Approval</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Reject</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Rejected</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MR document, shortfall/demand list, notifications to approvers &amp; procurement</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Raising an MR shows live stock and shortfall.</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An approved MR with shortfall creates procurement demand automatically.</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F6FB2"/>
          <w:sz w:val="21"/>
          <w:szCs w:val="21"/>
        </w:rPr>
        <w:t xml:space="preserve">FS-INV-02  </w:t>
      </w:r>
      <w:r>
        <w:rPr>
          <w:rFonts w:ascii="Calibri" w:cs="Calibri" w:eastAsia="Calibri" w:hAnsi="Calibri"/>
          <w:b/>
          <w:bCs/>
          <w:i w:val="false"/>
          <w:iCs w:val="false"/>
          <w:caps w:val="false"/>
          <w:color w:val="2E8C8C"/>
          <w:sz w:val="21"/>
          <w:szCs w:val="21"/>
        </w:rPr>
        <w:t xml:space="preserve">—  RFQ, Vendor Comparison &amp; Purchase Order</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INV-05, INV-06, INV-07, INV-08, INV-09</w:t>
            </w:r>
          </w:p>
        </w:tc>
        <w:tc>
          <w:tcPr>
            <w:tcW w:type="dxa" w:w="1500"/>
            <w:shd w:fill="2F6FB2"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P2</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Procurement, Project Manager, Operations Manager, Director, Managing Director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Convert approved demand into the best-value PO through quotation comparison and multi-level approval.</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Procurement raises an RFQ from approved demand and sends it to selected vendors.</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Vendor quotations are captured and compared on a comparison sheet (price, lead time, past performance) — minimum three vendors.</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For continuous/repeat purchases, the previously approved vendor may be used without re-bidding.</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Selected quotation generates a PO; PO is approved Project Manager → Operations Manager → Director → Managing Director and released to the vendor.</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RFQ no., vendors invited, quoted price/lead time/terms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Comparison sheet, selected vendor &amp; justification, PO no., delivery schedule</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 minimum of three vendor quotes is required unless the continuous-vendor exception is applied (with reason).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PO approval route follows value thresholds via the approval engine.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PO cannot exceed the approved MR/demand without re-approval.</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RFQ Sent</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Quotes received</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Under Comparison</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Under Comparison</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Select vendor</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PO Draft</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PO Draft</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 (all levels)</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PO Released</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PO Released</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Delivered</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Closed</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RFQ, comparison sheet, PO document (PDF to vendor), committed cost to Finance</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PO cannot be released without required approvals.</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The comparison sheet records why the selected vendor was chosen.</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Released PO creates committed cost on the project.</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F6FB2"/>
          <w:sz w:val="21"/>
          <w:szCs w:val="21"/>
        </w:rPr>
        <w:t xml:space="preserve">FS-INV-03  </w:t>
      </w:r>
      <w:r>
        <w:rPr>
          <w:rFonts w:ascii="Calibri" w:cs="Calibri" w:eastAsia="Calibri" w:hAnsi="Calibri"/>
          <w:b/>
          <w:bCs/>
          <w:i w:val="false"/>
          <w:iCs w:val="false"/>
          <w:caps w:val="false"/>
          <w:color w:val="2E8C8C"/>
          <w:sz w:val="21"/>
          <w:szCs w:val="21"/>
        </w:rPr>
        <w:t xml:space="preserve">—  Goods Receipt (GRN) &amp; QA/QC Inspection</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INV-10, INV-11</w:t>
            </w:r>
          </w:p>
        </w:tc>
        <w:tc>
          <w:tcPr>
            <w:tcW w:type="dxa" w:w="1500"/>
            <w:shd w:fill="2F6FB2"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P2</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Storekeeper, QA/QC</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Receive delivered materials, inspect for quality/quantity/compliance, and update stock and cost.</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On delivery, storekeeper records a GRN against the PO.</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QA/QC inspects quality, quantity and compliance and records the result.</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Accepted quantities move to storage/site and update stock and cost; rejected quantities are flagged for return to vendor.</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GRN no., PO ref, received qty, inspected qty, accepted/rejected qty</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Inspection result, remarks, supporting documents (MTC/test cert)</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Received qty is validated against the PO (over-receipt requires authority).</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Only accepted stock updates inventory; rejected stock is quarantined.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GRN acceptance posts material cost to Finance/project.</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Awaited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Goods received</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GRN Recorded</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GRN Recorded</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Inspect</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Accepted / Partially Accepted / Rejected</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Rejected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Return</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Return to Vendor</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GRN document, inspection report, stock &amp; cost update, vendor return note</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Accepted quantity increases stock and project cost; rejected does not.</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Over-receipt beyond PO tolerance is blocked without authority.</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F6FB2"/>
          <w:sz w:val="21"/>
          <w:szCs w:val="21"/>
        </w:rPr>
        <w:t xml:space="preserve">FS-INV-04  </w:t>
      </w:r>
      <w:r>
        <w:rPr>
          <w:rFonts w:ascii="Calibri" w:cs="Calibri" w:eastAsia="Calibri" w:hAnsi="Calibri"/>
          <w:b/>
          <w:bCs/>
          <w:i w:val="false"/>
          <w:iCs w:val="false"/>
          <w:caps w:val="false"/>
          <w:color w:val="2E8C8C"/>
          <w:sz w:val="21"/>
          <w:szCs w:val="21"/>
        </w:rPr>
        <w:t xml:space="preserve">—  Calibration Management &amp; Equipment Lock</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INV-12, INV-13, INV-19</w:t>
            </w:r>
          </w:p>
        </w:tc>
        <w:tc>
          <w:tcPr>
            <w:tcW w:type="dxa" w:w="1500"/>
            <w:shd w:fill="2F6FB2"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P2</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QA/QC, Storekeeper, Site Engineer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Schedule and track tool calibration and automatically block equipment whose calibration has expired.</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Serialized tools/equipment are registered with calibration frequency and due dates.</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Items due are scheduled and sent for calibration (third-party or at store); results and certificates are recorded.</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The system alerts before expiry; once the expiry date passes, the item is automatically locked/blocked from issue.</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Internal maintenance/refurbishment work orders can be raised to service or repair tools.</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Equipment id/serial, calibration frequency, last/next due date, status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Calibration certificate, result, work order no.</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An item past its calibration expiry cannot be issued (hard block).</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Alerts fire at configured lead times before expiry.</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Only a valid recorded calibration clears the block.</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Valid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Approaching expiry</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Alert Raised</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Alert Raised</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Expiry passed</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Blocked</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Blocked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Calibration recorded</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Valid</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Calibration schedule &amp; status report, expiry alerts, calibration certificates, maintenance work orders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An expired tool cannot be issued to site.</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Recording a new calibration restores the item to issuable status.</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F6FB2"/>
          <w:sz w:val="21"/>
          <w:szCs w:val="21"/>
        </w:rPr>
        <w:t xml:space="preserve">FS-INV-05  </w:t>
      </w:r>
      <w:r>
        <w:rPr>
          <w:rFonts w:ascii="Calibri" w:cs="Calibri" w:eastAsia="Calibri" w:hAnsi="Calibri"/>
          <w:b/>
          <w:bCs/>
          <w:i w:val="false"/>
          <w:iCs w:val="false"/>
          <w:caps w:val="false"/>
          <w:color w:val="2E8C8C"/>
          <w:sz w:val="21"/>
          <w:szCs w:val="21"/>
        </w:rPr>
        <w:t xml:space="preserve">—  Storage, Rack/Bin Allocation &amp; Stock Movement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INV-14, INV-15, ADD-03, ADD-08</w:t>
            </w:r>
          </w:p>
        </w:tc>
        <w:tc>
          <w:tcPr>
            <w:tcW w:type="dxa" w:w="1500"/>
            <w:shd w:fill="2F6FB2"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P2</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Storekeeper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Track exactly where stock sits and control movements between store, site and yard.</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Physical areas are structured as Plant/Site → Storage Location → Zone → Bin/Rack.</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Materials are allocated to bins/racks by type (mechanical, electrical, chemical, consumable).</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Internal movements (bin transfer, status change) and Main Store → Site Store transfers are recorded without changing financial ownership.</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QR/barcode scanning (Phase-1 optional) speeds location, issue and audit.</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Location hierarchy, bin/rack, item, quantity, status, calibration status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Movement type, from/to location, gate pass ref</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Stock quantity and location are always consistent after a movement.</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Internal transfers do not create financial cost, only location change.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Material type governs allowed storage zones (e.g. chemicals segregated).</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Stock-by-location report, movement/gate-pass log, bin labels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Every issue/transfer updates both quantity and location.</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store-to-site transfer keeps total company stock value unchanged.</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F6FB2"/>
          <w:sz w:val="21"/>
          <w:szCs w:val="21"/>
        </w:rPr>
        <w:t xml:space="preserve">FS-INV-06  </w:t>
      </w:r>
      <w:r>
        <w:rPr>
          <w:rFonts w:ascii="Calibri" w:cs="Calibri" w:eastAsia="Calibri" w:hAnsi="Calibri"/>
          <w:b/>
          <w:bCs/>
          <w:i w:val="false"/>
          <w:iCs w:val="false"/>
          <w:caps w:val="false"/>
          <w:color w:val="2E8C8C"/>
          <w:sz w:val="21"/>
          <w:szCs w:val="21"/>
        </w:rPr>
        <w:t xml:space="preserve">—  Material Return (MRN), Reorder &amp; Stock Audit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INV-16, INV-17, INV-18</w:t>
            </w:r>
          </w:p>
        </w:tc>
        <w:tc>
          <w:tcPr>
            <w:tcW w:type="dxa" w:w="1500"/>
            <w:shd w:fill="2F6FB2"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P2</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Site Engineer, Storekeeper, Procurement</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Handle returns, keep stock above minimums automatically, and support physical audits.</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Surplus/used materials are returned via a Material Return Note and flagged reusable or scrap.</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System monitors minimum stock and calibration status and auto-alerts for reorder.</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Cycle counts and periodic physical audits are recorded and variances posted.</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MRN no., item, qty, condition (reusable/scrap), project</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Minimum level, reorder point, count qty vs. system qty, variance</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Reusable returns re-enter available stock; scrap is segregated.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Reorder alert triggers when stock ≤ minimum.</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Audit variances require reason and approval to post.</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MRN document, reorder alerts, stock audit/variance report, material ageing, scrap &amp; wastage report</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reusable return increases available stock; scrap does not.</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Stock falling to the minimum raises a reorder alert to procurement.</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F6FB2"/>
          <w:sz w:val="21"/>
          <w:szCs w:val="21"/>
        </w:rPr>
        <w:t xml:space="preserve">FS-INV-07  </w:t>
      </w:r>
      <w:r>
        <w:rPr>
          <w:rFonts w:ascii="Calibri" w:cs="Calibri" w:eastAsia="Calibri" w:hAnsi="Calibri"/>
          <w:b/>
          <w:bCs/>
          <w:i w:val="false"/>
          <w:iCs w:val="false"/>
          <w:caps w:val="false"/>
          <w:color w:val="2E8C8C"/>
          <w:sz w:val="21"/>
          <w:szCs w:val="21"/>
        </w:rPr>
        <w:t xml:space="preserve">—  Vendor Onboarding, Rating &amp; Portal (SRM)</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INV-20, INV-21, INV-22</w:t>
            </w:r>
          </w:p>
        </w:tc>
        <w:tc>
          <w:tcPr>
            <w:tcW w:type="dxa" w:w="1500"/>
            <w:shd w:fill="2F6FB2"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P2</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Vendor, Procurement</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Register and qualify vendors, score their performance, and let them self-serve on RFQs and orders.</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Vendor self-registers via a portal, submitting tax/legal, banking and compliance details.</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Procurement runs compliance/banking verification and a risk-assessment scorecard to approve the vendor.</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System scores each vendor automatically on OTIF delivery, quality-defect rate, price competitiveness and responsiveness.</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Approved vendors respond to RFQs and track orders through the portal.</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Vendor profile, documents, risk score, category</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OTIF %, defect rate, price index, responsiveness → overall rating</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Only approved, compliant vendors can be selected on a PO.</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Vendor rating is recalculated from actual GRN/delivery performance.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Low-rated/blacklisted vendors are excluded from RFQs.</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Vendor master, vendor scorecards, vendor performance report</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An unverified vendor cannot receive a PO.</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Late/defective deliveries lower the vendor’s rating automatically.</w:t>
      </w:r>
    </w:p>
    <w:p>
      <w:pPr>
        <w:spacing w:after="60"/>
      </w:pPr>
      <w:r>
        <w:rPr>
          <w:rFonts w:ascii="Calibri" w:cs="Calibri" w:eastAsia="Calibri" w:hAnsi="Calibri"/>
          <w:b w:val="false"/>
          <w:bCs w:val="false"/>
          <w:i w:val="false"/>
          <w:iCs w:val="false"/>
          <w:caps w:val="false"/>
          <w:color w:val="222222"/>
          <w:sz w:val="21"/>
          <w:szCs w:val="21"/>
        </w:rPr>
        <w:t xml:space="preserve"/>
      </w:r>
    </w:p>
    <w:p>
      <w:r>
        <w:br w:type="page"/>
      </w:r>
    </w:p>
    <w:p>
      <w:pPr>
        <w:pStyle w:val="Heading2"/>
        <w:spacing w:after="100" w:before="260"/>
      </w:pPr>
      <w:r>
        <w:rPr>
          <w:rFonts w:ascii="Calibri" w:cs="Calibri" w:eastAsia="Calibri" w:hAnsi="Calibri"/>
          <w:b/>
          <w:bCs/>
          <w:i w:val="false"/>
          <w:iCs w:val="false"/>
          <w:caps w:val="false"/>
          <w:color w:val="2F6FB2"/>
          <w:sz w:val="24"/>
          <w:szCs w:val="24"/>
        </w:rPr>
        <w:t xml:space="preserve">5.3  CRM — Sales, Marketing &amp; Estimation  (Phase 2)</w:t>
      </w:r>
    </w:p>
    <w:p>
      <w:pPr>
        <w:pStyle w:val="Heading3"/>
        <w:keepNext/>
        <w:spacing w:after="60" w:before="240"/>
      </w:pPr>
      <w:r>
        <w:rPr>
          <w:rFonts w:ascii="Calibri" w:cs="Calibri" w:eastAsia="Calibri" w:hAnsi="Calibri"/>
          <w:b/>
          <w:bCs/>
          <w:i w:val="false"/>
          <w:iCs w:val="false"/>
          <w:caps w:val="false"/>
          <w:color w:val="2F6FB2"/>
          <w:sz w:val="21"/>
          <w:szCs w:val="21"/>
        </w:rPr>
        <w:t xml:space="preserve">FS-CRM-01  </w:t>
      </w:r>
      <w:r>
        <w:rPr>
          <w:rFonts w:ascii="Calibri" w:cs="Calibri" w:eastAsia="Calibri" w:hAnsi="Calibri"/>
          <w:b/>
          <w:bCs/>
          <w:i w:val="false"/>
          <w:iCs w:val="false"/>
          <w:caps w:val="false"/>
          <w:color w:val="2E8C8C"/>
          <w:sz w:val="21"/>
          <w:szCs w:val="21"/>
        </w:rPr>
        <w:t xml:space="preserve">—  Lead, Opportunity &amp; Pipeline Management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CRM-01, CRM-02, CRM-03, CRM-04</w:t>
            </w:r>
          </w:p>
        </w:tc>
        <w:tc>
          <w:tcPr>
            <w:tcW w:type="dxa" w:w="1500"/>
            <w:shd w:fill="2F6FB2"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P2</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Sales Engineer, Estimation Engineer, Marketing</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Capture demand and manage it through a qualified sales pipeline.</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Leads are captured (sales team, customer portal, campaign) and segmented.</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Leads are qualified/scored; interaction history is logged.</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Opportunities move through pipeline stages with deal-probability weighting and competitor/tender notes.</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Marketing campaigns are tracked with events and ROI (optional in phase).</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Lead source, customer, segment, score, stage, value, probability</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Interaction log, competitor, tender/bid reference</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Each stage change is logged with date and owner.</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Weighted pipeline value = value × probability.</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 won opportunity hands over to Estimation/Projects.</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New</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Qualify</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Qualified</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Qualified</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Progress</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Quoted / Negotiation</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Negotiation</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Win</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Won → Project</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Any</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Lose</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Lost (reason)</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Pipeline dashboard, lead source &amp; conversion report, campaign ROI</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Pipeline shows weighted value by stage.</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Winning an opportunity creates the downstream estimate/project link.</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F6FB2"/>
          <w:sz w:val="21"/>
          <w:szCs w:val="21"/>
        </w:rPr>
        <w:t xml:space="preserve">FS-CRM-02  </w:t>
      </w:r>
      <w:r>
        <w:rPr>
          <w:rFonts w:ascii="Calibri" w:cs="Calibri" w:eastAsia="Calibri" w:hAnsi="Calibri"/>
          <w:b/>
          <w:bCs/>
          <w:i w:val="false"/>
          <w:iCs w:val="false"/>
          <w:caps w:val="false"/>
          <w:color w:val="2E8C8C"/>
          <w:sz w:val="21"/>
          <w:szCs w:val="21"/>
        </w:rPr>
        <w:t xml:space="preserve">—  Estimation Workflow (Enquiry → Quotation → Customer PO)</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CRM-11, CRM-12, CRM-13, CRM-14, CRM-15, CRM-16, CRM-17</w:t>
            </w:r>
          </w:p>
        </w:tc>
        <w:tc>
          <w:tcPr>
            <w:tcW w:type="dxa" w:w="1500"/>
            <w:shd w:fill="2F6FB2"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P2</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Customer, Sales/Estimation Engineer, Management</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Standardise the end-to-end estimation and quotation process with approvals and version control.</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Enquiry is received (sales team or customer portal) and logged as a lead with defined fields.</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A site visit is conducted; the site visit report is attached and the lead shows ‘Site Report Submitted’.</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Estimation Engineer reviews the report and prepares a sales quotation (from BOQ/cost build-up).</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Quotation is routed to management for review and approval.</w:t>
      </w:r>
    </w:p>
    <w:p>
      <w:pPr>
        <w:spacing w:after="40" w:line="264"/>
        <w:ind w:left="460" w:hanging="300"/>
      </w:pPr>
      <w:r>
        <w:rPr>
          <w:rFonts w:ascii="Calibri" w:cs="Calibri" w:eastAsia="Calibri" w:hAnsi="Calibri"/>
          <w:b/>
          <w:bCs/>
          <w:i w:val="false"/>
          <w:iCs w:val="false"/>
          <w:caps w:val="false"/>
          <w:color w:val="2F6FB2"/>
          <w:sz w:val="20"/>
          <w:szCs w:val="20"/>
        </w:rPr>
        <w:t xml:space="preserve">5.  </w:t>
      </w:r>
      <w:r>
        <w:rPr>
          <w:rFonts w:ascii="Calibri" w:cs="Calibri" w:eastAsia="Calibri" w:hAnsi="Calibri"/>
          <w:b w:val="false"/>
          <w:bCs w:val="false"/>
          <w:i w:val="false"/>
          <w:iCs w:val="false"/>
          <w:caps w:val="false"/>
          <w:color w:val="2B2B2B"/>
          <w:sz w:val="20"/>
          <w:szCs w:val="20"/>
        </w:rPr>
        <w:t xml:space="preserve">On approval, the quotation is issued to the customer as a PDF by email.</w:t>
      </w:r>
    </w:p>
    <w:p>
      <w:pPr>
        <w:spacing w:after="40" w:line="264"/>
        <w:ind w:left="460" w:hanging="300"/>
      </w:pPr>
      <w:r>
        <w:rPr>
          <w:rFonts w:ascii="Calibri" w:cs="Calibri" w:eastAsia="Calibri" w:hAnsi="Calibri"/>
          <w:b/>
          <w:bCs/>
          <w:i w:val="false"/>
          <w:iCs w:val="false"/>
          <w:caps w:val="false"/>
          <w:color w:val="2F6FB2"/>
          <w:sz w:val="20"/>
          <w:szCs w:val="20"/>
        </w:rPr>
        <w:t xml:space="preserve">6.  </w:t>
      </w:r>
      <w:r>
        <w:rPr>
          <w:rFonts w:ascii="Calibri" w:cs="Calibri" w:eastAsia="Calibri" w:hAnsi="Calibri"/>
          <w:b w:val="false"/>
          <w:bCs w:val="false"/>
          <w:i w:val="false"/>
          <w:iCs w:val="false"/>
          <w:caps w:val="false"/>
          <w:color w:val="2B2B2B"/>
          <w:sz w:val="20"/>
          <w:szCs w:val="20"/>
        </w:rPr>
        <w:t xml:space="preserve">Revisions are handled with full version history following customer discussions.</w:t>
      </w:r>
    </w:p>
    <w:p>
      <w:pPr>
        <w:spacing w:after="40" w:line="264"/>
        <w:ind w:left="460" w:hanging="300"/>
      </w:pPr>
      <w:r>
        <w:rPr>
          <w:rFonts w:ascii="Calibri" w:cs="Calibri" w:eastAsia="Calibri" w:hAnsi="Calibri"/>
          <w:b/>
          <w:bCs/>
          <w:i w:val="false"/>
          <w:iCs w:val="false"/>
          <w:caps w:val="false"/>
          <w:color w:val="2F6FB2"/>
          <w:sz w:val="20"/>
          <w:szCs w:val="20"/>
        </w:rPr>
        <w:t xml:space="preserve">7.  </w:t>
      </w:r>
      <w:r>
        <w:rPr>
          <w:rFonts w:ascii="Calibri" w:cs="Calibri" w:eastAsia="Calibri" w:hAnsi="Calibri"/>
          <w:b w:val="false"/>
          <w:bCs w:val="false"/>
          <w:i w:val="false"/>
          <w:iCs w:val="false"/>
          <w:caps w:val="false"/>
          <w:color w:val="2B2B2B"/>
          <w:sz w:val="20"/>
          <w:szCs w:val="20"/>
        </w:rPr>
        <w:t xml:space="preserve">On customer acceptance, the received customer PO is captured and handed to Projects &amp; Finance.</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Enquiry data set, site visit report (attachment), quotation no. &amp; revision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Quotation value, validity, terms, approval record, customer PO ref</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 quotation cannot be sent to the customer before management approval.</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Each revision increments the version and preserves prior versions.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Customer PO capture closes the opportunity as Won and initiates project creation.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‘Site Report Submitted’ status appears only once the report is attached.</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Enquiry</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Log lead</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Lead Created</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Lead Created</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Attach site report</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Site Report Submitted</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Site Report Submitted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Prepare quote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Quotation Draft</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Quotation Draft</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Approved → Sent to Customer</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Sent</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Revise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Revised (v+1)</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Sent</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Customer PO</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Won → Project</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Quotation PDF (emailed), approval trail, revision history, customer PO record</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quotation emailed to a customer always carries an approval record.</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Every revision is retrievable; the current version is clearly marked.</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Capturing the customer PO triggers project creation.</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F6FB2"/>
          <w:sz w:val="21"/>
          <w:szCs w:val="21"/>
        </w:rPr>
        <w:t xml:space="preserve">FS-CRM-03  </w:t>
      </w:r>
      <w:r>
        <w:rPr>
          <w:rFonts w:ascii="Calibri" w:cs="Calibri" w:eastAsia="Calibri" w:hAnsi="Calibri"/>
          <w:b/>
          <w:bCs/>
          <w:i w:val="false"/>
          <w:iCs w:val="false"/>
          <w:caps w:val="false"/>
          <w:color w:val="2E8C8C"/>
          <w:sz w:val="21"/>
          <w:szCs w:val="21"/>
        </w:rPr>
        <w:t xml:space="preserve">—  Cost Estimation, BOQ &amp; Takeoff</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CRM-05, CRM-06, CRM-07, CRM-08, CRM-09, CRM-10</w:t>
            </w:r>
          </w:p>
        </w:tc>
        <w:tc>
          <w:tcPr>
            <w:tcW w:type="dxa" w:w="1500"/>
            <w:shd w:fill="2F6FB2"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P2</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Estimation Engineer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Build an accurate, structured cost estimate specific to fabrication and erection contracting.</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Create the Bill of Quantities (BOQ) and material takeoff (MTO).</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Build cost from direct labour rates, machine-hour estimates and indirect costs.</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Set the bidding scope and unit basis (per Ton, Metre, Piece or lump-sum per drawing package/BOQ).</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Choose the material supply model — FOC (client-issued raw material) or Turnkey (subcontractor sources).</w:t>
      </w:r>
    </w:p>
    <w:p>
      <w:pPr>
        <w:spacing w:after="40" w:line="264"/>
        <w:ind w:left="460" w:hanging="300"/>
      </w:pPr>
      <w:r>
        <w:rPr>
          <w:rFonts w:ascii="Calibri" w:cs="Calibri" w:eastAsia="Calibri" w:hAnsi="Calibri"/>
          <w:b/>
          <w:bCs/>
          <w:i w:val="false"/>
          <w:iCs w:val="false"/>
          <w:caps w:val="false"/>
          <w:color w:val="2F6FB2"/>
          <w:sz w:val="20"/>
          <w:szCs w:val="20"/>
        </w:rPr>
        <w:t xml:space="preserve">5.  </w:t>
      </w:r>
      <w:r>
        <w:rPr>
          <w:rFonts w:ascii="Calibri" w:cs="Calibri" w:eastAsia="Calibri" w:hAnsi="Calibri"/>
          <w:b w:val="false"/>
          <w:bCs w:val="false"/>
          <w:i w:val="false"/>
          <w:iCs w:val="false"/>
          <w:caps w:val="false"/>
          <w:color w:val="2B2B2B"/>
          <w:sz w:val="20"/>
          <w:szCs w:val="20"/>
        </w:rPr>
        <w:t xml:space="preserve">Capture subcontractor bids and required quality deliverables (ITP, NDT, Hydrotest, MTC).</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BOQ line items, quantity, unit, unit rate, MTO</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Labour/machine/indirect cost, supply model, subcontractor bid, quality deliverables</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Estimate total rolls up from BOQ lines and cost build-up.</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FOC excludes client-supplied material cost from the estimate but tracks it as issued.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Approved estimate becomes the project budget (Phase 2 → Projects/Finance).</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BOQ, cost estimate sheet, subcontractor comparison, basis-of-estimate</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Changing a BOQ quantity or unit rate updates the estimate total.</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The approved estimate is available to seed the project budget.</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F6FB2"/>
          <w:sz w:val="21"/>
          <w:szCs w:val="21"/>
        </w:rPr>
        <w:t xml:space="preserve">FS-CRM-04  </w:t>
      </w:r>
      <w:r>
        <w:rPr>
          <w:rFonts w:ascii="Calibri" w:cs="Calibri" w:eastAsia="Calibri" w:hAnsi="Calibri"/>
          <w:b/>
          <w:bCs/>
          <w:i w:val="false"/>
          <w:iCs w:val="false"/>
          <w:caps w:val="false"/>
          <w:color w:val="2E8C8C"/>
          <w:sz w:val="21"/>
          <w:szCs w:val="21"/>
        </w:rPr>
        <w:t xml:space="preserve">—  Commercial Proposal &amp; Bidding (Markup, Margin, Multi-currency)</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CRM-18</w:t>
            </w:r>
          </w:p>
        </w:tc>
        <w:tc>
          <w:tcPr>
            <w:tcW w:type="dxa" w:w="1500"/>
            <w:shd w:fill="2F6FB2"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P2</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Commercial/Estimation Head, Management</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Apply commercial rules to the cost estimate to produce the final priced proposal.</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Apply markup rules to the cost estimate and analyse resulting margin.</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Produce multi-currency quotations as required.</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Apply the discount approval matrix for any concession beyond policy.</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Cost base, markup %, margin %, currency, discount, approver</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Discounts beyond thresholds require the configured approval level.</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Margin is recomputed live as markup/discount change.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Final proposal price feeds the quotation to the customer.</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Priced commercial proposal, margin analysis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discount above policy is blocked pending the right approval.</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Margin updates immediately with any price change.</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F6FB2"/>
          <w:sz w:val="21"/>
          <w:szCs w:val="21"/>
        </w:rPr>
        <w:t xml:space="preserve">FS-CRM-05  </w:t>
      </w:r>
      <w:r>
        <w:rPr>
          <w:rFonts w:ascii="Calibri" w:cs="Calibri" w:eastAsia="Calibri" w:hAnsi="Calibri"/>
          <w:b/>
          <w:bCs/>
          <w:i w:val="false"/>
          <w:iCs w:val="false"/>
          <w:caps w:val="false"/>
          <w:color w:val="2E8C8C"/>
          <w:sz w:val="21"/>
          <w:szCs w:val="21"/>
        </w:rPr>
        <w:t xml:space="preserve">—  Customer Self-Service Portal</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CRM-11, ADD-09</w:t>
            </w:r>
          </w:p>
        </w:tc>
        <w:tc>
          <w:tcPr>
            <w:tcW w:type="dxa" w:w="1500"/>
            <w:shd w:fill="2F6FB2"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P2</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Customer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Let customers submit enquiries and track quotation status, reducing manual follow-up.</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Customer submits an enquiry through the portal (creates a lead).</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Customer views quotation status and receives issued quotations.</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Customer can upload their PO/acceptance.</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Customer account, enquiry details, quotation status, uploaded PO</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Portal users see only their own enquiries and quotations.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Portal enquiries enter the same estimation workflow as internal ones.</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Portal enquiry, status notifications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portal enquiry appears as a lead internally.</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customer sees only their own records.</w:t>
      </w:r>
    </w:p>
    <w:p>
      <w:pPr>
        <w:spacing w:after="60"/>
      </w:pPr>
      <w:r>
        <w:rPr>
          <w:rFonts w:ascii="Calibri" w:cs="Calibri" w:eastAsia="Calibri" w:hAnsi="Calibri"/>
          <w:b w:val="false"/>
          <w:bCs w:val="false"/>
          <w:i w:val="false"/>
          <w:iCs w:val="false"/>
          <w:caps w:val="false"/>
          <w:color w:val="222222"/>
          <w:sz w:val="21"/>
          <w:szCs w:val="21"/>
        </w:rPr>
        <w:t xml:space="preserve"/>
      </w:r>
    </w:p>
    <w:p>
      <w:r>
        <w:br w:type="page"/>
      </w:r>
    </w:p>
    <w:p>
      <w:pPr>
        <w:pStyle w:val="Heading2"/>
        <w:spacing w:after="100" w:before="260"/>
      </w:pPr>
      <w:r>
        <w:rPr>
          <w:rFonts w:ascii="Calibri" w:cs="Calibri" w:eastAsia="Calibri" w:hAnsi="Calibri"/>
          <w:b/>
          <w:bCs/>
          <w:i w:val="false"/>
          <w:iCs w:val="false"/>
          <w:caps w:val="false"/>
          <w:color w:val="2F6FB2"/>
          <w:sz w:val="24"/>
          <w:szCs w:val="24"/>
        </w:rPr>
        <w:t xml:space="preserve">5.4  Project Management  (Phase 3)</w:t>
      </w:r>
    </w:p>
    <w:p>
      <w:pPr>
        <w:pStyle w:val="Heading3"/>
        <w:keepNext/>
        <w:spacing w:after="60" w:before="240"/>
      </w:pPr>
      <w:r>
        <w:rPr>
          <w:rFonts w:ascii="Calibri" w:cs="Calibri" w:eastAsia="Calibri" w:hAnsi="Calibri"/>
          <w:b/>
          <w:bCs/>
          <w:i w:val="false"/>
          <w:iCs w:val="false"/>
          <w:caps w:val="false"/>
          <w:color w:val="2E8C8C"/>
          <w:sz w:val="21"/>
          <w:szCs w:val="21"/>
        </w:rPr>
        <w:t xml:space="preserve">FS-PRJ-01  </w:t>
      </w:r>
      <w:r>
        <w:rPr>
          <w:rFonts w:ascii="Calibri" w:cs="Calibri" w:eastAsia="Calibri" w:hAnsi="Calibri"/>
          <w:b/>
          <w:bCs/>
          <w:i w:val="false"/>
          <w:iCs w:val="false"/>
          <w:caps w:val="false"/>
          <w:color w:val="2E8C8C"/>
          <w:sz w:val="21"/>
          <w:szCs w:val="21"/>
        </w:rPr>
        <w:t xml:space="preserve">—  Project Setup &amp; Work Breakdown Structure (WBS)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PRJ-01</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Project Manager, Finance</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Create the project with its activity/work breakdown and budget from the approved estimate.</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On customer PO, a project is created and the approved estimate seeds the budget and WBS cost codes.</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The Activity/Work Breakdown Structure is defined with schedule and responsibilities.</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Baseline schedule and budget are locked; changes go through change control.</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Project no., client, contract value, WBS/activities, budget by cost code, schedule dates</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Project budget originates from the approved estimate.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Baseline changes are tracked as variations.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All downstream cost/demand references the project WBS.</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Awarded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Set up</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Active</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Active</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Complete</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Closed</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Active</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Hold</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On Hold</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Project charter, WBS, baseline budget &amp; schedule</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new project inherits budget and cost codes from its estimate.</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Activities and schedule are visible with responsibilities.</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FS-PRJ-02  </w:t>
      </w:r>
      <w:r>
        <w:rPr>
          <w:rFonts w:ascii="Calibri" w:cs="Calibri" w:eastAsia="Calibri" w:hAnsi="Calibri"/>
          <w:b/>
          <w:bCs/>
          <w:i w:val="false"/>
          <w:iCs w:val="false"/>
          <w:caps w:val="false"/>
          <w:color w:val="2E8C8C"/>
          <w:sz w:val="21"/>
          <w:szCs w:val="21"/>
        </w:rPr>
        <w:t xml:space="preserve">—  Fabrication &amp; Erection Tracking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PRJ-03, PRJ-04, PRJ-05</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Project Manager, Site Engineer, Fabrication Supervisor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Track fabrication and erection progress against schedule, including shutdown operations.</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Fabrication progress is recorded by item/assembly against the fabrication schedule (e.g. cut, fit, weld, QC, paint).</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Erection progress is recorded against the erection schedule.</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Shutdown operations are planned and tracked as time-critical activities.</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Progress feeds % complete for revenue recognition and management reporting.</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Assembly/spool id, stage, planned vs. actual dates, weight/qty, % complete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Shutdown window, activity status</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Progress is measured on a defined basis (weight/qty/milestone).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Progress % feeds Finance revenue recognition (FS-FIN-03).</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Delays against schedule are flagged.</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Fabrication/erection progress report, S-curve, delay alerts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Recording fabrication/erection progress updates project % complete.</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Schedule slippage is highlighted.</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FS-PRJ-03  </w:t>
      </w:r>
      <w:r>
        <w:rPr>
          <w:rFonts w:ascii="Calibri" w:cs="Calibri" w:eastAsia="Calibri" w:hAnsi="Calibri"/>
          <w:b/>
          <w:bCs/>
          <w:i w:val="false"/>
          <w:iCs w:val="false"/>
          <w:caps w:val="false"/>
          <w:color w:val="2E8C8C"/>
          <w:sz w:val="21"/>
          <w:szCs w:val="21"/>
        </w:rPr>
        <w:t xml:space="preserve">—  Resource Allocation — Manpower, Fleet, Tools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PRJ-06, PRJ-07, PRJ-08, PRJ-10</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Project Manager, Site Engineer, HR (Phase 3), Store</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Plan and allocate manpower, vehicles and tools/consumables to the project.</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Manpower is planned by trade with works planning, covering various visa types and local hiring.</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Fleet (vehicles/equipment) is allocated and tracked to the project.</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Tools, tackles and consumables are allocated from store (integrated with Inventory).</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Civil works/earthworks activities are tracked where applicable.</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Trade, headcount, visa type/local, allocation dates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Vehicle/equipment id, tool/tackle id, consumable qty</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Manpower demand feeds HR mobilisation (Phase 3) and project cost.</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Tool allocation checks calibration/availability in Inventory.</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Fleet/tool cost posts to the project.</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Resource plan, manpower histogram, fleet &amp; tool allocation report</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Allocating a tool reduces store availability and adds project cost.</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Manpower plan reflects visa/local composition.</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FS-PRJ-04  </w:t>
      </w:r>
      <w:r>
        <w:rPr>
          <w:rFonts w:ascii="Calibri" w:cs="Calibri" w:eastAsia="Calibri" w:hAnsi="Calibri"/>
          <w:b/>
          <w:bCs/>
          <w:i w:val="false"/>
          <w:iCs w:val="false"/>
          <w:caps w:val="false"/>
          <w:color w:val="2E8C8C"/>
          <w:sz w:val="21"/>
          <w:szCs w:val="21"/>
        </w:rPr>
        <w:t xml:space="preserve">—  Materials &amp; Procurement Integration</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PRJ-02, PRJ-09</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Project Manager, Site Engineer, Procurement</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Ensure project material demand flows into purchasing and consumption posts back to project cost.</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Project material requirements are raised as MRs (Inventory FS-INV-01) against the WBS.</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Approved demand flows to RFQ/PO (FS-INV-02); receipts (FS-INV-03) update stock.</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Materials issued to the project post consumption to project cost per code.</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MR/PO refs, item, qty, cost code, issued/consumed qty</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All project material actions reference the project + cost code.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Consumption updates actual cost and remaining budget in real time.</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Project material status, consumption-per-project report, committed vs. actual material cost</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project MR flows through to PO and GRN without re-entry.</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Issued material appears as project cost against the right code.</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FS-PRJ-05  </w:t>
      </w:r>
      <w:r>
        <w:rPr>
          <w:rFonts w:ascii="Calibri" w:cs="Calibri" w:eastAsia="Calibri" w:hAnsi="Calibri"/>
          <w:b/>
          <w:bCs/>
          <w:i w:val="false"/>
          <w:iCs w:val="false"/>
          <w:caps w:val="false"/>
          <w:color w:val="2E8C8C"/>
          <w:sz w:val="21"/>
          <w:szCs w:val="21"/>
        </w:rPr>
        <w:t xml:space="preserve">—  Project Types, Subcontracts, Extra Work &amp; Progress Tracking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PRJ-11, PRJ-12, PRJ-13, PRJ-14, PRJ-15</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Project Manager, Site Engineer, Finance</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Handle the different ways White &amp; Bright executes work — with or without materials, via subcontracts, and with extra work — and track progress day to day.</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At setup, the project is flagged as WITH materials (supply &amp; install) or WITHOUT materials (labour/erection only); costing follows the chosen type.</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Subcontracts are raised by type — subcontracted work, subcontracted manpower, or subcontracted materials — each with scope, value and approval.</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Extra-work / variation orders are raised against the project, separate from the original scope, with their own approval and costing.</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Site teams post daily and weekly progress updates against the plan; progress % feeds cost, revenue recognition and reports.</w:t>
      </w:r>
    </w:p>
    <w:p>
      <w:pPr>
        <w:spacing w:after="40" w:line="264"/>
        <w:ind w:left="460" w:hanging="300"/>
      </w:pPr>
      <w:r>
        <w:rPr>
          <w:rFonts w:ascii="Calibri" w:cs="Calibri" w:eastAsia="Calibri" w:hAnsi="Calibri"/>
          <w:b/>
          <w:bCs/>
          <w:i w:val="false"/>
          <w:iCs w:val="false"/>
          <w:caps w:val="false"/>
          <w:color w:val="2F6FB2"/>
          <w:sz w:val="20"/>
          <w:szCs w:val="20"/>
        </w:rPr>
        <w:t xml:space="preserve">5.  </w:t>
      </w:r>
      <w:r>
        <w:rPr>
          <w:rFonts w:ascii="Calibri" w:cs="Calibri" w:eastAsia="Calibri" w:hAnsi="Calibri"/>
          <w:b w:val="false"/>
          <w:bCs w:val="false"/>
          <w:i w:val="false"/>
          <w:iCs w:val="false"/>
          <w:caps w:val="false"/>
          <w:color w:val="2B2B2B"/>
          <w:sz w:val="20"/>
          <w:szCs w:val="20"/>
        </w:rPr>
        <w:t xml:space="preserve">Manpower time is captured by Project ID (project timesheets), including resources shared from other group companies.</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Project type (with/without materials); subcontract type, scope, value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Extra-work order no., scope, value, approval</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Daily/weekly progress %, remarks; project timesheet (person, hours, Project ID)</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Project type governs whether material cost is included in the project scope.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Each subcontract and extra-work order is approved and costed to the project separately from base scope.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Daily/weekly progress feeds project % complete (FS-FIN-03) and management reports.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Project timesheets post labour cost to the correct company and project (see FS-GRP-01).</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Draft</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Active</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Active</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Extra work raised</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Variation Pending Approval</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Variation Pending Approval</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Variation Active</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Active</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Complete</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Closed</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Project type &amp; subcontract register, extra-work orders, daily/weekly progress report (S-curve), project timesheets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without-materials project excludes material cost from its scope; a with-materials project includes it.</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An extra-work order is tracked and costed separately from the original scope.</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Daily/weekly updates move the project % complete and show on the progress report.</w:t>
      </w:r>
    </w:p>
    <w:p>
      <w:pPr>
        <w:spacing w:after="60"/>
      </w:pPr>
      <w:r>
        <w:rPr>
          <w:rFonts w:ascii="Calibri" w:cs="Calibri" w:eastAsia="Calibri" w:hAnsi="Calibri"/>
          <w:b w:val="false"/>
          <w:bCs w:val="false"/>
          <w:i w:val="false"/>
          <w:iCs w:val="false"/>
          <w:caps w:val="false"/>
          <w:color w:val="222222"/>
          <w:sz w:val="21"/>
          <w:szCs w:val="21"/>
        </w:rPr>
        <w:t xml:space="preserve"/>
      </w:r>
    </w:p>
    <w:p>
      <w:r>
        <w:br w:type="page"/>
      </w:r>
    </w:p>
    <w:p>
      <w:pPr>
        <w:pStyle w:val="Heading2"/>
        <w:spacing w:after="100" w:before="260"/>
      </w:pPr>
      <w:r>
        <w:rPr>
          <w:rFonts w:ascii="Calibri" w:cs="Calibri" w:eastAsia="Calibri" w:hAnsi="Calibri"/>
          <w:b/>
          <w:bCs/>
          <w:i w:val="false"/>
          <w:iCs w:val="false"/>
          <w:caps w:val="false"/>
          <w:color w:val="2F6FB2"/>
          <w:sz w:val="24"/>
          <w:szCs w:val="24"/>
        </w:rPr>
        <w:t xml:space="preserve">5.5  Health, Safety &amp; Environment (HSE)  (Phase 3)</w:t>
      </w:r>
    </w:p>
    <w:p>
      <w:pPr>
        <w:pStyle w:val="Heading3"/>
        <w:keepNext/>
        <w:spacing w:after="60" w:before="240"/>
      </w:pPr>
      <w:r>
        <w:rPr>
          <w:rFonts w:ascii="Calibri" w:cs="Calibri" w:eastAsia="Calibri" w:hAnsi="Calibri"/>
          <w:b/>
          <w:bCs/>
          <w:i w:val="false"/>
          <w:iCs w:val="false"/>
          <w:caps w:val="false"/>
          <w:color w:val="2E8C8C"/>
          <w:sz w:val="21"/>
          <w:szCs w:val="21"/>
        </w:rPr>
        <w:t xml:space="preserve">FS-HSE-01  </w:t>
      </w:r>
      <w:r>
        <w:rPr>
          <w:rFonts w:ascii="Calibri" w:cs="Calibri" w:eastAsia="Calibri" w:hAnsi="Calibri"/>
          <w:b/>
          <w:bCs/>
          <w:i w:val="false"/>
          <w:iCs w:val="false"/>
          <w:caps w:val="false"/>
          <w:color w:val="2E8C8C"/>
          <w:sz w:val="21"/>
          <w:szCs w:val="21"/>
        </w:rPr>
        <w:t xml:space="preserve">—  Permit to Work (PTW)</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HSE-01</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Site Engineer, HSE Officer, Permit Approver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Manage high-risk work permits digitally so hazardous activities are authorised and controlled.</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Requester raises a digital permit of the required type (Hot Work, Confined Space, Critical Lift, Working at Height, Excavation).</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Required checklists, precautions and gas/isolation checks are completed and attached.</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HSE and the authorised approver review and issue the permit for a defined validity window.</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Permit is closed on completion; expiry auto-suspends work until renewed.</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Permit type, location, validity window, hazards, precautions, checklist</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Issuing/approving officers, linked project &amp; activity</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Work of a permit type cannot proceed without a valid issued permit.</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Permit auto-expires at end of validity and must be renewed.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Required checklist items are mandatory before issue.</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Requested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Complete checks</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Under Review</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Under Review</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Issue</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Active</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Active</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Expire/Close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Expired / Closed</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Digital permit document, active-permits board, expiry alerts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high-risk activity without a valid permit is blocked.</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An expired permit suspends the associated work.</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FS-HSE-02  </w:t>
      </w:r>
      <w:r>
        <w:rPr>
          <w:rFonts w:ascii="Calibri" w:cs="Calibri" w:eastAsia="Calibri" w:hAnsi="Calibri"/>
          <w:b/>
          <w:bCs/>
          <w:i w:val="false"/>
          <w:iCs w:val="false"/>
          <w:caps w:val="false"/>
          <w:color w:val="2E8C8C"/>
          <w:sz w:val="21"/>
          <w:szCs w:val="21"/>
        </w:rPr>
        <w:t xml:space="preserve">—  Incident &amp; Near-Miss Management (RCA/CAPA)</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HSE-02, HSE-03</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Any employee, HSE Officer, Management</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Log incidents and near-misses, investigate root cause, and track corrective/preventive actions to closure.</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Anyone reports an incident/near-miss with details and photos (mobile-friendly).</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HSE classifies severity and conducts root-cause analysis (RCA).</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Corrective/preventive actions (CAPA) are assigned with owners and due dates.</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Statutory/OSHA reports are generated; actions are tracked to closure.</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Incident type/severity, date/time, location, description, photos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RCA findings, CAPA actions, owner, due date, status</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Every incident requires RCA before closure.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Open CAPA actions escalate on overdue.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Statutory reportable incidents flagged for regulatory reporting.</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Reported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Investigate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Under RCA</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Under RCA</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Assign CAPA</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Actions Open</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Actions Open</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All actions done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Closed</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Incident report, RCA record, CAPA tracker, OSHA/statutory report, safety statistics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An incident cannot be closed with open CAPA actions.</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Overdue CAPA actions raise escalation alerts.</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FS-HSE-03  </w:t>
      </w:r>
      <w:r>
        <w:rPr>
          <w:rFonts w:ascii="Calibri" w:cs="Calibri" w:eastAsia="Calibri" w:hAnsi="Calibri"/>
          <w:b/>
          <w:bCs/>
          <w:i w:val="false"/>
          <w:iCs w:val="false"/>
          <w:caps w:val="false"/>
          <w:color w:val="2E8C8C"/>
          <w:sz w:val="21"/>
          <w:szCs w:val="21"/>
        </w:rPr>
        <w:t xml:space="preserve">—  Inspections, Audits, Training &amp; Environmental</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HSE-04, HSE-05, HSE-06</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HSE Officer, Site Supervisor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Run safety inspections, track safety training/certifications, and monitor environmental compliance.</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Conduct inspections/audits via digital checklists (site safety, scaffolding sign-off, fire equipment, environmental).</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Record safety inductions and trade certifications (e.g. 6G Welder, Rigger L1) and medical clearances with expiry.</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Alerts fire before certification/medical expiry; monitor hazardous waste, emissions, dust and noise compliance.</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Checklist type, findings, score, corrective actions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Worker certification/medical, issue/expiry date, environmental readings</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Failed inspection items create corrective actions.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 worker with an expired safety certification/medical is flagged as non-deployable.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Certification expiry alerts use the notification engine lead-times.</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Inspection/audit reports, training &amp; certification matrix, expiry alerts, environmental compliance log</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An expired safety certificate flags the worker as non-deployable.</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failed inspection item generates a tracked corrective action.</w:t>
      </w:r>
    </w:p>
    <w:p>
      <w:pPr>
        <w:spacing w:after="60"/>
      </w:pPr>
      <w:r>
        <w:rPr>
          <w:rFonts w:ascii="Calibri" w:cs="Calibri" w:eastAsia="Calibri" w:hAnsi="Calibri"/>
          <w:b w:val="false"/>
          <w:bCs w:val="false"/>
          <w:i w:val="false"/>
          <w:iCs w:val="false"/>
          <w:caps w:val="false"/>
          <w:color w:val="222222"/>
          <w:sz w:val="21"/>
          <w:szCs w:val="21"/>
        </w:rPr>
        <w:t xml:space="preserve"/>
      </w:r>
    </w:p>
    <w:p>
      <w:r>
        <w:br w:type="page"/>
      </w:r>
    </w:p>
    <w:p>
      <w:pPr>
        <w:pStyle w:val="Heading2"/>
        <w:spacing w:after="100" w:before="260"/>
      </w:pPr>
      <w:r>
        <w:rPr>
          <w:rFonts w:ascii="Calibri" w:cs="Calibri" w:eastAsia="Calibri" w:hAnsi="Calibri"/>
          <w:b/>
          <w:bCs/>
          <w:i w:val="false"/>
          <w:iCs w:val="false"/>
          <w:caps w:val="false"/>
          <w:color w:val="2F6FB2"/>
          <w:sz w:val="24"/>
          <w:szCs w:val="24"/>
        </w:rPr>
        <w:t xml:space="preserve">5.6  Human Resources &amp; Admin  (Phase 1 master data · Phase 3 operations)</w:t>
      </w:r>
    </w:p>
    <w:p>
      <w:pPr>
        <w:pStyle w:val="Heading3"/>
        <w:keepNext/>
        <w:spacing w:after="60" w:before="240"/>
      </w:pPr>
      <w:r>
        <w:rPr>
          <w:rFonts w:ascii="Calibri" w:cs="Calibri" w:eastAsia="Calibri" w:hAnsi="Calibri"/>
          <w:b/>
          <w:bCs/>
          <w:i w:val="false"/>
          <w:iCs w:val="false"/>
          <w:caps w:val="false"/>
          <w:color w:val="1F3B57"/>
          <w:sz w:val="21"/>
          <w:szCs w:val="21"/>
        </w:rPr>
        <w:t xml:space="preserve">FS-HR-01  </w:t>
      </w:r>
      <w:r>
        <w:rPr>
          <w:rFonts w:ascii="Calibri" w:cs="Calibri" w:eastAsia="Calibri" w:hAnsi="Calibri"/>
          <w:b/>
          <w:bCs/>
          <w:i w:val="false"/>
          <w:iCs w:val="false"/>
          <w:caps w:val="false"/>
          <w:color w:val="2E8C8C"/>
          <w:sz w:val="21"/>
          <w:szCs w:val="21"/>
        </w:rPr>
        <w:t xml:space="preserve">—  Core HR &amp; Employee Master Data</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HR-01</w:t>
            </w:r>
          </w:p>
        </w:tc>
        <w:tc>
          <w:tcPr>
            <w:tcW w:type="dxa" w:w="1500"/>
            <w:shd w:fill="1F3B57"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P1</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 Officer, Employee, Line Manager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Maintain a single digital record for every employee, including structure, grading, assets and documents.</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Create/maintain the employee profile with personal, job, grade and organisational data.</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Assign company assets and store documents (contract, IDs, visa, certificates).</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Organisational structure and reporting lines are maintained.</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Employee id, personal &amp; contact, department, grade, reporting line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Assigned assets, documents with expiry dates</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Sensitive data is visible only per RBAC.</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Document expiry dates feed the alerts engine.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Employee record is the master referenced by attendance, payroll and projects.</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Employee directory, org chart, asset register, document expiry report</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Employee data is entered once and reused across modules.</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Document expiries generate alerts.</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FS-HR-02  </w:t>
      </w:r>
      <w:r>
        <w:rPr>
          <w:rFonts w:ascii="Calibri" w:cs="Calibri" w:eastAsia="Calibri" w:hAnsi="Calibri"/>
          <w:b/>
          <w:bCs/>
          <w:i w:val="false"/>
          <w:iCs w:val="false"/>
          <w:caps w:val="false"/>
          <w:color w:val="2E8C8C"/>
          <w:sz w:val="21"/>
          <w:szCs w:val="21"/>
        </w:rPr>
        <w:t xml:space="preserve">—  Time, Attendance &amp; Shift Management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HR-02</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Employee, Supervisor, HR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Capture attendance from biometric/mobile check-ins and manage shifts, rosters and overtime.</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Employees check in/out via biometric device or mobile (with location).</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Shifts and rosters are scheduled; overtime is calculated per rules.</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Attendance/timesheet data feeds payroll and project labour cost.</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Check-in/out time &amp; location, shift, roster, overtime hours, timesheet</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Overtime is computed from configured rules.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Timesheet hours can be allocated to projects for costing.</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Exceptions (missing punch) are flagged for supervisor correction.</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Attendance register, timesheet, overtime report, project labour hours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Biometric/mobile punches produce a timesheet.</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Approved timesheets post labour hours to projects.</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FS-HR-03  </w:t>
      </w:r>
      <w:r>
        <w:rPr>
          <w:rFonts w:ascii="Calibri" w:cs="Calibri" w:eastAsia="Calibri" w:hAnsi="Calibri"/>
          <w:b/>
          <w:bCs/>
          <w:i w:val="false"/>
          <w:iCs w:val="false"/>
          <w:caps w:val="false"/>
          <w:color w:val="2E8C8C"/>
          <w:sz w:val="21"/>
          <w:szCs w:val="21"/>
        </w:rPr>
        <w:t xml:space="preserve">—  Leave Management</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HR-03, HR-04, HR-05, HR-06</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Employee, Line Manager, HR</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Manage all leave types with balances, approvals and project-aware allocation.</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Employee submits a leave request of the relevant category.</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System checks entitlement/balance and routes for approval.</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Leave is approved against a centralised allocation aligned to project dates; balances update.</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WFH requests follow eligibility rules and approval.</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Leave type, dates, balance, approver, project impact</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Categories: Annual/Earned, Sick/Medical, Statutory, Unpaid (LOP), Comp-Off, WFH</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Requests exceeding balance are blocked or flagged as LOP.</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Comp-Off is credited from approved overtime/holiday working.</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Central allocation considers project demand/dates before approval.</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Requested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Approved</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Requested</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Reject</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Rejected</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Cancel</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Cancelled</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Leave calendar, balance report, LOP report to payroll</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request beyond balance is stopped or converted to LOP.</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Approved leave adjusts balances and informs payroll.</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FS-HR-04  </w:t>
      </w:r>
      <w:r>
        <w:rPr>
          <w:rFonts w:ascii="Calibri" w:cs="Calibri" w:eastAsia="Calibri" w:hAnsi="Calibri"/>
          <w:b/>
          <w:bCs/>
          <w:i w:val="false"/>
          <w:iCs w:val="false"/>
          <w:caps w:val="false"/>
          <w:color w:val="2E8C8C"/>
          <w:sz w:val="21"/>
          <w:szCs w:val="21"/>
        </w:rPr>
        <w:t xml:space="preserve">—  Payroll Processing</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HR-07, HR-08</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HR/Payroll, Finance</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Calculate salaries from configurable structures and timesheets, and distribute payslips.</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Configure salary structures (earnings, deductions, benefits) per grade/employee.</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Run payroll using timesheet/attendance, overtime, leave (LOP), benefits and reimbursements.</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Review and approve payroll; generate and distribute payslips; post cost to Finance.</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Salary components, timesheet/OT, LOP, benefits, reimbursements, net pay</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LOP and unapproved absence reduce pay per rules.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Payroll requires approval before payslip release.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Payroll posts labour cost to Finance/projects.</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Draft</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Calculate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Calculated</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Calculated</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Approved</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Release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Payslips Issued / Posted</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Payroll register, payslips (distributed), payroll cost posting, statutory reports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Payroll reflects attendance, overtime and LOP correctly.</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Payslips issue only after payroll approval.</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FS-HR-05  </w:t>
      </w:r>
      <w:r>
        <w:rPr>
          <w:rFonts w:ascii="Calibri" w:cs="Calibri" w:eastAsia="Calibri" w:hAnsi="Calibri"/>
          <w:b/>
          <w:bCs/>
          <w:i w:val="false"/>
          <w:iCs w:val="false"/>
          <w:caps w:val="false"/>
          <w:color w:val="2E8C8C"/>
          <w:sz w:val="21"/>
          <w:szCs w:val="21"/>
        </w:rPr>
        <w:t xml:space="preserve">—  Recruitment, Onboarding &amp; Visa (incl. Mission Visa)</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HR-09, HR-10, HR-11</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 Hiring Manager, Management</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Manage hiring from requisition to onboarding, including project-based visa processing.</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Manpower requisition is raised and approved (linked to project demand).</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Interviews are scheduled; offer letters are generated on selection.</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Visa processing runs with multi-level approvals, including project-based recruitment (Mission Visa).</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Automated onboarding checklists are completed for the new joiner.</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Requisition, candidate, interview outcome, offer, visa type/status, onboarding tasks</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Requisition approval precedes offer generation.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Mission (project) visas link the employee to the sponsoring project.</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Onboarding checklist completion is tracked before deployment.</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Requisition</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Approve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Open Position</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Open Position</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Select</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Offer Issued</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Offer Issued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Visa &amp; join</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Onboarded</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Requisition &amp; offer documents, visa tracker, onboarding checklist status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An offer cannot issue without an approved requisition.</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Mission-visa employees are linked to their project.</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FS-HR-06  </w:t>
      </w:r>
      <w:r>
        <w:rPr>
          <w:rFonts w:ascii="Calibri" w:cs="Calibri" w:eastAsia="Calibri" w:hAnsi="Calibri"/>
          <w:b/>
          <w:bCs/>
          <w:i w:val="false"/>
          <w:iCs w:val="false"/>
          <w:caps w:val="false"/>
          <w:color w:val="2E8C8C"/>
          <w:sz w:val="21"/>
          <w:szCs w:val="21"/>
        </w:rPr>
        <w:t xml:space="preserve">—  Competency Certifications &amp; Performance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HR-12, HR-13, HR-14</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 Line Manager, Employee</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Ensure job-required certifications stay valid, and run the appraisal cycle.</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Record the competency certifications required for each job/trade and each employee’s held certifications.</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Track expiry dates and alert before lapse (shared with HSE training).</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Run performance appraisals: goals/KPIs, self-assessment, line-manager feedback, appraisal workflow.</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Required vs. held certifications, expiry dates, KPI/goals, ratings, feedback</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An employee missing a required valid certification is flagged for the role.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Certification expiry alerts fire at configured lead times.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Appraisal follows the configured workflow and stores outcomes.</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Competency matrix, certification expiry alerts, appraisal records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lapsed required certification flags the employee for that job.</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The appraisal cycle completes with stored ratings and feedback.</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FS-HR-07  </w:t>
      </w:r>
      <w:r>
        <w:rPr>
          <w:rFonts w:ascii="Calibri" w:cs="Calibri" w:eastAsia="Calibri" w:hAnsi="Calibri"/>
          <w:b/>
          <w:bCs/>
          <w:i w:val="false"/>
          <w:iCs w:val="false"/>
          <w:caps w:val="false"/>
          <w:color w:val="2E8C8C"/>
          <w:sz w:val="21"/>
          <w:szCs w:val="21"/>
        </w:rPr>
        <w:t xml:space="preserve">—  Supplied Manpower, Medical Records &amp; Project Timesheets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HR-15, HR-16, HR-17</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 Officer, Site Engineer, Payroll</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Track workers supplied by manpower agencies and their certifications, hold employees' medical history, and capture time by project.</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Register each supplied worker (not a direct employee) with details, supplying agency/sponsor, trade and their certifications (with expiry).</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Store each employee's previous/historical medical records and clearances under restricted access.</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Capture time for employees and supplied workers against a Project ID (project timesheets) for various projects.</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Supplied worker profile, agency, trade, certifications &amp; expiry</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Employee medical history / clearances (restricted)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Timesheet: person, Project ID, date, hours</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Supplied workers are distinguished from direct employees but are subject to the same certification/expiry checks.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Medical records are visible only to authorised roles (RBAC).</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Project timesheets feed payroll (FS-HR-04) and project cost (FS-FIN-02).</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Supplied-manpower register, certification expiry alerts, project timesheet reports</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supplied worker with an expired required certification is flagged.</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Time booked to a Project ID appears in that project's cost.</w:t>
      </w:r>
    </w:p>
    <w:p>
      <w:pPr>
        <w:spacing w:after="60"/>
      </w:pPr>
      <w:r>
        <w:rPr>
          <w:rFonts w:ascii="Calibri" w:cs="Calibri" w:eastAsia="Calibri" w:hAnsi="Calibri"/>
          <w:b w:val="false"/>
          <w:bCs w:val="false"/>
          <w:i w:val="false"/>
          <w:iCs w:val="false"/>
          <w:caps w:val="false"/>
          <w:color w:val="222222"/>
          <w:sz w:val="21"/>
          <w:szCs w:val="21"/>
        </w:rPr>
        <w:t xml:space="preserve"/>
      </w:r>
    </w:p>
    <w:p>
      <w:pPr>
        <w:pStyle w:val="Heading3"/>
        <w:keepNext/>
        <w:spacing w:after="60" w:before="240"/>
      </w:pPr>
      <w:r>
        <w:rPr>
          <w:rFonts w:ascii="Calibri" w:cs="Calibri" w:eastAsia="Calibri" w:hAnsi="Calibri"/>
          <w:b/>
          <w:bCs/>
          <w:i w:val="false"/>
          <w:iCs w:val="false"/>
          <w:caps w:val="false"/>
          <w:color w:val="2E8C8C"/>
          <w:sz w:val="21"/>
          <w:szCs w:val="21"/>
        </w:rPr>
        <w:t xml:space="preserve">FS-HR-08  </w:t>
      </w:r>
      <w:r>
        <w:rPr>
          <w:rFonts w:ascii="Calibri" w:cs="Calibri" w:eastAsia="Calibri" w:hAnsi="Calibri"/>
          <w:b/>
          <w:bCs/>
          <w:i w:val="false"/>
          <w:iCs w:val="false"/>
          <w:caps w:val="false"/>
          <w:color w:val="2E8C8C"/>
          <w:sz w:val="21"/>
          <w:szCs w:val="21"/>
        </w:rPr>
        <w:t xml:space="preserve">—  Job Assignments &amp; Task Management (Admin)</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HR-18, HR-19, HR-20, HR-21, HR-22, HR-23</w:t>
            </w:r>
          </w:p>
        </w:tc>
        <w:tc>
          <w:tcPr>
            <w:tcW w:type="dxa" w:w="1500"/>
            <w:shd w:fill="2E8C8C"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P3</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Any employee (assigner/assignee), Department Heads</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Assign internal jobs/tasks to departments or people, track progress, and close them as tickets — the admin task/ticketing tool.</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A user creates a job/task and assigns it to a department or a specific person, with description, priority and a ticket number.</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Assignment records assigned-by, assigned-to, date and time allocation (estimated time and/or due date).</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A user may self-assign — create a task for themselves or pick up an open/unassigned task.</w:t>
      </w:r>
    </w:p>
    <w:p>
      <w:pPr>
        <w:spacing w:after="40" w:line="264"/>
        <w:ind w:left="460" w:hanging="300"/>
      </w:pPr>
      <w:r>
        <w:rPr>
          <w:rFonts w:ascii="Calibri" w:cs="Calibri" w:eastAsia="Calibri" w:hAnsi="Calibri"/>
          <w:b/>
          <w:bCs/>
          <w:i w:val="false"/>
          <w:iCs w:val="false"/>
          <w:caps w:val="false"/>
          <w:color w:val="2F6FB2"/>
          <w:sz w:val="20"/>
          <w:szCs w:val="20"/>
        </w:rPr>
        <w:t xml:space="preserve">4.  </w:t>
      </w:r>
      <w:r>
        <w:rPr>
          <w:rFonts w:ascii="Calibri" w:cs="Calibri" w:eastAsia="Calibri" w:hAnsi="Calibri"/>
          <w:b w:val="false"/>
          <w:bCs w:val="false"/>
          <w:i w:val="false"/>
          <w:iCs w:val="false"/>
          <w:caps w:val="false"/>
          <w:color w:val="2B2B2B"/>
          <w:sz w:val="20"/>
          <w:szCs w:val="20"/>
        </w:rPr>
        <w:t xml:space="preserve">The assignee updates progress (Open → In Progress → Completed) with comments; alerts fire for new, due and overdue tasks.</w:t>
      </w:r>
    </w:p>
    <w:p>
      <w:pPr>
        <w:spacing w:after="40" w:line="264"/>
        <w:ind w:left="460" w:hanging="300"/>
      </w:pPr>
      <w:r>
        <w:rPr>
          <w:rFonts w:ascii="Calibri" w:cs="Calibri" w:eastAsia="Calibri" w:hAnsi="Calibri"/>
          <w:b/>
          <w:bCs/>
          <w:i w:val="false"/>
          <w:iCs w:val="false"/>
          <w:caps w:val="false"/>
          <w:color w:val="2F6FB2"/>
          <w:sz w:val="20"/>
          <w:szCs w:val="20"/>
        </w:rPr>
        <w:t xml:space="preserve">5.  </w:t>
      </w:r>
      <w:r>
        <w:rPr>
          <w:rFonts w:ascii="Calibri" w:cs="Calibri" w:eastAsia="Calibri" w:hAnsi="Calibri"/>
          <w:b w:val="false"/>
          <w:bCs w:val="false"/>
          <w:i w:val="false"/>
          <w:iCs w:val="false"/>
          <w:caps w:val="false"/>
          <w:color w:val="2B2B2B"/>
          <w:sz w:val="20"/>
          <w:szCs w:val="20"/>
        </w:rPr>
        <w:t xml:space="preserve">On completion the ticket is closed with a closure record (closed by, date, remarks); it can be reopened if needed.</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Ticket no., title, description, priority, department/assignee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Assigned by, assigned date, time allocation / due date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Status, progress comments, closure record</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Every assignment has an assigner, an assignee (department or person) and a due date/time allocation.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Alerts notify the assignee and assigner on assignment, upcoming due date and overdue.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 closed ticket keeps its full history; reopening is recorded.</w:t>
      </w:r>
    </w:p>
    <w:p>
      <w:pPr>
        <w:spacing w:after="40" w:before="100"/>
      </w:pPr>
      <w:r>
        <w:rPr>
          <w:rFonts w:ascii="Calibri" w:cs="Calibri" w:eastAsia="Calibri" w:hAnsi="Calibri"/>
          <w:b/>
          <w:bCs/>
          <w:i w:val="false"/>
          <w:iCs w:val="false"/>
          <w:caps w:val="false"/>
          <w:color w:val="1F3B57"/>
          <w:sz w:val="20"/>
          <w:szCs w:val="20"/>
        </w:rPr>
        <w:t xml:space="preserve">Status Lifecycle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3560"/>
        <w:gridCol w:w="28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From Status</w:t>
            </w:r>
          </w:p>
        </w:tc>
        <w:tc>
          <w:tcPr>
            <w:tcW w:type="dxa" w:w="3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Event / Action</w:t>
            </w:r>
          </w:p>
        </w:tc>
        <w:tc>
          <w:tcPr>
            <w:tcW w:type="dxa" w:w="28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To Status</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Open</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Start</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In Progress</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In Progress</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Complete</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Completed</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Completed</w:t>
            </w:r>
          </w:p>
        </w:tc>
        <w:tc>
          <w:tcPr>
            <w:tcW w:type="dxa" w:w="3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Close</w:t>
            </w:r>
          </w:p>
        </w:tc>
        <w:tc>
          <w:tcPr>
            <w:tcW w:type="dxa" w:w="28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Closed</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Closed</w:t>
            </w:r>
          </w:p>
        </w:tc>
        <w:tc>
          <w:tcPr>
            <w:tcW w:type="dxa" w:w="3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Reopen</w:t>
            </w:r>
          </w:p>
        </w:tc>
        <w:tc>
          <w:tcPr>
            <w:tcW w:type="dxa" w:w="28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In Progress</w:t>
            </w:r>
          </w:p>
        </w:tc>
      </w:tr>
    </w:tbl>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Assignment/ticket list, my-tasks view, overdue-task alerts, closure record</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task can be assigned to a department or a person, or self-assigned.</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Overdue tasks raise alerts to assignee and assigner.</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A completed task can be closed and reopened, with history retained.</w:t>
      </w:r>
    </w:p>
    <w:p>
      <w:pPr>
        <w:spacing w:after="60"/>
      </w:pPr>
      <w:r>
        <w:rPr>
          <w:rFonts w:ascii="Calibri" w:cs="Calibri" w:eastAsia="Calibri" w:hAnsi="Calibri"/>
          <w:b w:val="false"/>
          <w:bCs w:val="false"/>
          <w:i w:val="false"/>
          <w:iCs w:val="false"/>
          <w:caps w:val="false"/>
          <w:color w:val="222222"/>
          <w:sz w:val="21"/>
          <w:szCs w:val="21"/>
        </w:rPr>
        <w:t xml:space="preserve"/>
      </w:r>
    </w:p>
    <w:p>
      <w:r>
        <w:br w:type="page"/>
      </w:r>
    </w:p>
    <w:p>
      <w:pPr>
        <w:pStyle w:val="Heading2"/>
        <w:spacing w:after="100" w:before="260"/>
      </w:pPr>
      <w:r>
        <w:rPr>
          <w:rFonts w:ascii="Calibri" w:cs="Calibri" w:eastAsia="Calibri" w:hAnsi="Calibri"/>
          <w:b/>
          <w:bCs/>
          <w:i w:val="false"/>
          <w:iCs w:val="false"/>
          <w:caps w:val="false"/>
          <w:color w:val="2F6FB2"/>
          <w:sz w:val="24"/>
          <w:szCs w:val="24"/>
        </w:rPr>
        <w:t xml:space="preserve">5.7  Executive Dashboards &amp; Analytics  (Phase 4)</w:t>
      </w:r>
    </w:p>
    <w:p>
      <w:pPr>
        <w:pStyle w:val="Heading3"/>
        <w:keepNext/>
        <w:spacing w:after="60" w:before="240"/>
      </w:pPr>
      <w:r>
        <w:rPr>
          <w:rFonts w:ascii="Calibri" w:cs="Calibri" w:eastAsia="Calibri" w:hAnsi="Calibri"/>
          <w:b/>
          <w:bCs/>
          <w:i w:val="false"/>
          <w:iCs w:val="false"/>
          <w:caps w:val="false"/>
          <w:color w:val="7A5AA6"/>
          <w:sz w:val="21"/>
          <w:szCs w:val="21"/>
        </w:rPr>
        <w:t xml:space="preserve">FS-BI-01  </w:t>
      </w:r>
      <w:r>
        <w:rPr>
          <w:rFonts w:ascii="Calibri" w:cs="Calibri" w:eastAsia="Calibri" w:hAnsi="Calibri"/>
          <w:b/>
          <w:bCs/>
          <w:i w:val="false"/>
          <w:iCs w:val="false"/>
          <w:caps w:val="false"/>
          <w:color w:val="2E8C8C"/>
          <w:sz w:val="21"/>
          <w:szCs w:val="21"/>
        </w:rPr>
        <w:t xml:space="preserve">—  Executive Dashboard &amp; Cross-Module KPIs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500"/>
        <w:gridCol w:w="6360"/>
        <w:gridCol w:w="1500"/>
      </w:tblGrid>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BRD Ref</w:t>
            </w:r>
          </w:p>
        </w:tc>
        <w:tc>
          <w:tcPr>
            <w:tcW w:type="dxa" w:w="6360"/>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ADD-01, FIN-07, FIN-08</w:t>
            </w:r>
          </w:p>
        </w:tc>
        <w:tc>
          <w:tcPr>
            <w:tcW w:type="dxa" w:w="1500"/>
            <w:shd w:fill="7A5AA6" w:color="auto" w:val="clear"/>
            <w:tcMar>
              <w:top w:type="dxa" w:w="50"/>
              <w:left w:type="dxa" w:w="100"/>
              <w:bottom w:type="dxa" w:w="50"/>
              <w:right w:type="dxa" w:w="100"/>
            </w:tcMar>
            <w:vAlign w:val="center"/>
          </w:tcPr>
          <w:p>
            <w:pPr>
              <w:spacing w:after="0"/>
              <w:jc w:val="center"/>
            </w:pPr>
            <w:r>
              <w:rPr>
                <w:rFonts w:ascii="Calibri" w:cs="Calibri" w:eastAsia="Calibri" w:hAnsi="Calibri"/>
                <w:b/>
                <w:bCs/>
                <w:i w:val="false"/>
                <w:iCs w:val="false"/>
                <w:caps w:val="false"/>
                <w:color w:val="FFFFFF"/>
                <w:sz w:val="17"/>
                <w:szCs w:val="17"/>
              </w:rPr>
              <w:t xml:space="preserve">P4</w:t>
            </w:r>
          </w:p>
        </w:tc>
      </w:tr>
      <w:tr>
        <w:tc>
          <w:tcPr>
            <w:tcW w:type="dxa" w:w="1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6"/>
                <w:szCs w:val="16"/>
              </w:rPr>
              <w:t xml:space="preserve">Actors</w:t>
            </w:r>
          </w:p>
        </w:tc>
        <w:tc>
          <w:tcPr>
            <w:tcW w:type="dxa" w:w="7860"/>
            <w:gridSpan w:val="2"/>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7"/>
                <w:szCs w:val="17"/>
              </w:rPr>
              <w:t xml:space="preserve">Directors, Management</w:t>
            </w:r>
          </w:p>
        </w:tc>
      </w:tr>
    </w:tbl>
    <w:p>
      <w:pPr>
        <w:spacing w:after="60" w:before="80" w:line="272"/>
      </w:pPr>
      <w:r>
        <w:rPr>
          <w:rFonts w:ascii="Calibri" w:cs="Calibri" w:eastAsia="Calibri" w:hAnsi="Calibri"/>
          <w:b/>
          <w:bCs/>
          <w:i w:val="false"/>
          <w:iCs w:val="false"/>
          <w:caps w:val="false"/>
          <w:color w:val="1F3B57"/>
          <w:sz w:val="20"/>
          <w:szCs w:val="20"/>
        </w:rPr>
        <w:t xml:space="preserve">Purpose.  </w:t>
      </w:r>
      <w:r>
        <w:rPr>
          <w:rFonts w:ascii="Calibri" w:cs="Calibri" w:eastAsia="Calibri" w:hAnsi="Calibri"/>
          <w:b w:val="false"/>
          <w:bCs w:val="false"/>
          <w:i w:val="false"/>
          <w:iCs w:val="false"/>
          <w:caps w:val="false"/>
          <w:color w:val="2B2B2B"/>
          <w:sz w:val="20"/>
          <w:szCs w:val="20"/>
        </w:rPr>
        <w:t xml:space="preserve">Give leadership one live screen for the health of the business across all modules.</w:t>
      </w:r>
    </w:p>
    <w:p>
      <w:pPr>
        <w:spacing w:after="40" w:before="100"/>
      </w:pPr>
      <w:r>
        <w:rPr>
          <w:rFonts w:ascii="Calibri" w:cs="Calibri" w:eastAsia="Calibri" w:hAnsi="Calibri"/>
          <w:b/>
          <w:bCs/>
          <w:i w:val="false"/>
          <w:iCs w:val="false"/>
          <w:caps w:val="false"/>
          <w:color w:val="1F3B57"/>
          <w:sz w:val="20"/>
          <w:szCs w:val="20"/>
        </w:rPr>
        <w:t xml:space="preserve">Process Flow</w:t>
      </w:r>
    </w:p>
    <w:p>
      <w:pPr>
        <w:spacing w:after="40" w:line="264"/>
        <w:ind w:left="460" w:hanging="300"/>
      </w:pPr>
      <w:r>
        <w:rPr>
          <w:rFonts w:ascii="Calibri" w:cs="Calibri" w:eastAsia="Calibri" w:hAnsi="Calibri"/>
          <w:b/>
          <w:bCs/>
          <w:i w:val="false"/>
          <w:iCs w:val="false"/>
          <w:caps w:val="false"/>
          <w:color w:val="2F6FB2"/>
          <w:sz w:val="20"/>
          <w:szCs w:val="20"/>
        </w:rPr>
        <w:t xml:space="preserve">1.  </w:t>
      </w:r>
      <w:r>
        <w:rPr>
          <w:rFonts w:ascii="Calibri" w:cs="Calibri" w:eastAsia="Calibri" w:hAnsi="Calibri"/>
          <w:b w:val="false"/>
          <w:bCs w:val="false"/>
          <w:i w:val="false"/>
          <w:iCs w:val="false"/>
          <w:caps w:val="false"/>
          <w:color w:val="2B2B2B"/>
          <w:sz w:val="20"/>
          <w:szCs w:val="20"/>
        </w:rPr>
        <w:t xml:space="preserve">Dashboard aggregates KPIs from all modules: project profitability, cash-flow, stock alerts, overdue approvals, safety incidents, manpower.</w:t>
      </w:r>
    </w:p>
    <w:p>
      <w:pPr>
        <w:spacing w:after="40" w:line="264"/>
        <w:ind w:left="460" w:hanging="300"/>
      </w:pPr>
      <w:r>
        <w:rPr>
          <w:rFonts w:ascii="Calibri" w:cs="Calibri" w:eastAsia="Calibri" w:hAnsi="Calibri"/>
          <w:b/>
          <w:bCs/>
          <w:i w:val="false"/>
          <w:iCs w:val="false"/>
          <w:caps w:val="false"/>
          <w:color w:val="2F6FB2"/>
          <w:sz w:val="20"/>
          <w:szCs w:val="20"/>
        </w:rPr>
        <w:t xml:space="preserve">2.  </w:t>
      </w:r>
      <w:r>
        <w:rPr>
          <w:rFonts w:ascii="Calibri" w:cs="Calibri" w:eastAsia="Calibri" w:hAnsi="Calibri"/>
          <w:b w:val="false"/>
          <w:bCs w:val="false"/>
          <w:i w:val="false"/>
          <w:iCs w:val="false"/>
          <w:caps w:val="false"/>
          <w:color w:val="2B2B2B"/>
          <w:sz w:val="20"/>
          <w:szCs w:val="20"/>
        </w:rPr>
        <w:t xml:space="preserve">Users drill from a KPI into the underlying records.</w:t>
      </w:r>
    </w:p>
    <w:p>
      <w:pPr>
        <w:spacing w:after="40" w:line="264"/>
        <w:ind w:left="460" w:hanging="300"/>
      </w:pPr>
      <w:r>
        <w:rPr>
          <w:rFonts w:ascii="Calibri" w:cs="Calibri" w:eastAsia="Calibri" w:hAnsi="Calibri"/>
          <w:b/>
          <w:bCs/>
          <w:i w:val="false"/>
          <w:iCs w:val="false"/>
          <w:caps w:val="false"/>
          <w:color w:val="2F6FB2"/>
          <w:sz w:val="20"/>
          <w:szCs w:val="20"/>
        </w:rPr>
        <w:t xml:space="preserve">3.  </w:t>
      </w:r>
      <w:r>
        <w:rPr>
          <w:rFonts w:ascii="Calibri" w:cs="Calibri" w:eastAsia="Calibri" w:hAnsi="Calibri"/>
          <w:b w:val="false"/>
          <w:bCs w:val="false"/>
          <w:i w:val="false"/>
          <w:iCs w:val="false"/>
          <w:caps w:val="false"/>
          <w:color w:val="2B2B2B"/>
          <w:sz w:val="20"/>
          <w:szCs w:val="20"/>
        </w:rPr>
        <w:t xml:space="preserve">Views are role-filtered (a PM sees their projects; a Director sees all).</w:t>
      </w:r>
    </w:p>
    <w:p>
      <w:pPr>
        <w:spacing w:after="40" w:before="100"/>
      </w:pPr>
      <w:r>
        <w:rPr>
          <w:rFonts w:ascii="Calibri" w:cs="Calibri" w:eastAsia="Calibri" w:hAnsi="Calibri"/>
          <w:b/>
          <w:bCs/>
          <w:i w:val="false"/>
          <w:iCs w:val="false"/>
          <w:caps w:val="false"/>
          <w:color w:val="1F3B57"/>
          <w:sz w:val="20"/>
          <w:szCs w:val="20"/>
        </w:rPr>
        <w:t xml:space="preserve">Key Data Captured</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Profitability by project/discipline, cash-flow, CPI/EAC, stock &amp; calibration alerts, open approvals, incidents</w:t>
      </w:r>
    </w:p>
    <w:p>
      <w:pPr>
        <w:spacing w:after="40" w:before="100"/>
      </w:pPr>
      <w:r>
        <w:rPr>
          <w:rFonts w:ascii="Calibri" w:cs="Calibri" w:eastAsia="Calibri" w:hAnsi="Calibri"/>
          <w:b/>
          <w:bCs/>
          <w:i w:val="false"/>
          <w:iCs w:val="false"/>
          <w:caps w:val="false"/>
          <w:color w:val="1F3B57"/>
          <w:sz w:val="20"/>
          <w:szCs w:val="20"/>
        </w:rPr>
        <w:t xml:space="preserve">Business Rules &amp; Validations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Data is real-time from the shared database.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Drill-down respects RBAC data scope.</w:t>
      </w:r>
    </w:p>
    <w:p>
      <w:pPr>
        <w:spacing w:after="40" w:before="100"/>
      </w:pPr>
      <w:r>
        <w:rPr>
          <w:rFonts w:ascii="Calibri" w:cs="Calibri" w:eastAsia="Calibri" w:hAnsi="Calibri"/>
          <w:b/>
          <w:bCs/>
          <w:i w:val="false"/>
          <w:iCs w:val="false"/>
          <w:caps w:val="false"/>
          <w:color w:val="1F3B57"/>
          <w:sz w:val="20"/>
          <w:szCs w:val="20"/>
        </w:rPr>
        <w:t xml:space="preserve">Outputs, Documents &amp; Notifications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Executive dashboard, exportable management pack</w:t>
      </w:r>
    </w:p>
    <w:p>
      <w:pPr>
        <w:spacing w:after="40" w:before="100"/>
      </w:pPr>
      <w:r>
        <w:rPr>
          <w:rFonts w:ascii="Calibri" w:cs="Calibri" w:eastAsia="Calibri" w:hAnsi="Calibri"/>
          <w:b/>
          <w:bCs/>
          <w:i w:val="false"/>
          <w:iCs w:val="false"/>
          <w:caps w:val="false"/>
          <w:color w:val="1F3B57"/>
          <w:sz w:val="20"/>
          <w:szCs w:val="20"/>
        </w:rPr>
        <w:t xml:space="preserve">Acceptance Criteria</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Each KPI reconciles to its source module.</w:t>
      </w:r>
    </w:p>
    <w:p>
      <w:pPr>
        <w:pStyle w:val="ListParagraph"/>
        <w:numPr>
          <w:ilvl w:val="0"/>
          <w:numId w:val="2"/>
        </w:numPr>
        <w:spacing w:after="50" w:line="264"/>
      </w:pPr>
      <w:r>
        <w:rPr>
          <w:rFonts w:ascii="Calibri" w:cs="Calibri" w:eastAsia="Calibri" w:hAnsi="Calibri"/>
          <w:b/>
          <w:bCs/>
          <w:i w:val="false"/>
          <w:iCs w:val="false"/>
          <w:caps w:val="false"/>
          <w:color w:val="2E8C8C"/>
          <w:sz w:val="20"/>
          <w:szCs w:val="20"/>
        </w:rPr>
        <w:t xml:space="preserve">✓  </w:t>
      </w:r>
      <w:r>
        <w:rPr>
          <w:rFonts w:ascii="Calibri" w:cs="Calibri" w:eastAsia="Calibri" w:hAnsi="Calibri"/>
          <w:b w:val="false"/>
          <w:bCs w:val="false"/>
          <w:i w:val="false"/>
          <w:iCs w:val="false"/>
          <w:caps w:val="false"/>
          <w:color w:val="2B2B2B"/>
          <w:sz w:val="20"/>
          <w:szCs w:val="20"/>
        </w:rPr>
        <w:t xml:space="preserve">Drill-down opens the underlying records the user is allowed to see.</w:t>
      </w:r>
    </w:p>
    <w:p>
      <w:pPr>
        <w:spacing w:after="60"/>
      </w:pPr>
      <w:r>
        <w:rPr>
          <w:rFonts w:ascii="Calibri" w:cs="Calibri" w:eastAsia="Calibri" w:hAnsi="Calibri"/>
          <w:b w:val="false"/>
          <w:bCs w:val="false"/>
          <w:i w:val="false"/>
          <w:iCs w:val="false"/>
          <w:caps w:val="false"/>
          <w:color w:val="222222"/>
          <w:sz w:val="21"/>
          <w:szCs w:val="21"/>
        </w:rPr>
        <w:t xml:space="preserve"/>
      </w:r>
    </w:p>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6.  Reports &amp; Dashboards</w:t>
      </w:r>
    </w:p>
    <w:p>
      <w:pPr>
        <w:spacing w:after="140" w:before="0" w:line="276"/>
      </w:pPr>
      <w:r>
        <w:rPr>
          <w:rFonts w:ascii="Calibri" w:cs="Calibri" w:eastAsia="Calibri" w:hAnsi="Calibri"/>
          <w:b w:val="false"/>
          <w:bCs w:val="false"/>
          <w:i w:val="false"/>
          <w:iCs w:val="false"/>
          <w:caps w:val="false"/>
          <w:color w:val="2B2B2B"/>
          <w:sz w:val="21"/>
          <w:szCs w:val="21"/>
        </w:rPr>
        <w:t xml:space="preserve">The following standard reports are delivered with each phase. All reports are filterable (by project, date, vendor, etc.), exportable (PDF/Excel) and permission-controlled.</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1700"/>
        <w:gridCol w:w="6360"/>
        <w:gridCol w:w="1300"/>
      </w:tblGrid>
      <w:tr>
        <w:trPr>
          <w:tblHeader/>
        </w:trPr>
        <w:tc>
          <w:tcPr>
            <w:tcW w:type="dxa" w:w="17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Module</w:t>
            </w:r>
          </w:p>
        </w:tc>
        <w:tc>
          <w:tcPr>
            <w:tcW w:type="dxa" w:w="63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Key Reports</w:t>
            </w:r>
          </w:p>
        </w:tc>
        <w:tc>
          <w:tcPr>
            <w:tcW w:type="dxa" w:w="13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Phase</w:t>
            </w:r>
          </w:p>
        </w:tc>
      </w:tr>
      <w:tr>
        <w:tc>
          <w:tcPr>
            <w:tcW w:type="dxa" w:w="17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Group / Multi-Company</w:t>
            </w:r>
          </w:p>
        </w:tc>
        <w:tc>
          <w:tcPr>
            <w:tcW w:type="dxa" w:w="6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Per-company financials, consolidated group statements, inter-company ledger</w:t>
            </w:r>
          </w:p>
        </w:tc>
        <w:tc>
          <w:tcPr>
            <w:tcW w:type="dxa" w:w="130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P1</w:t>
            </w:r>
          </w:p>
        </w:tc>
      </w:tr>
      <w:tr>
        <w:tc>
          <w:tcPr>
            <w:tcW w:type="dxa" w:w="17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Finance</w:t>
            </w:r>
          </w:p>
        </w:tc>
        <w:tc>
          <w:tcPr>
            <w:tcW w:type="dxa" w:w="63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Trial balance, P&amp;L, AP/AR ageing, project profitability, cash-flow projection, WIP, retention ledger</w:t>
            </w:r>
          </w:p>
        </w:tc>
        <w:tc>
          <w:tcPr>
            <w:tcW w:type="dxa" w:w="130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P1</w:t>
            </w:r>
          </w:p>
        </w:tc>
      </w:tr>
      <w:tr>
        <w:tc>
          <w:tcPr>
            <w:tcW w:type="dxa" w:w="17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Inventory &amp; SCM</w:t>
            </w:r>
          </w:p>
        </w:tc>
        <w:tc>
          <w:tcPr>
            <w:tcW w:type="dxa" w:w="6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Daily stock, consumption per project, material ageing, scrap &amp; wastage, vendor performance, calibration status</w:t>
            </w:r>
          </w:p>
        </w:tc>
        <w:tc>
          <w:tcPr>
            <w:tcW w:type="dxa" w:w="130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P2</w:t>
            </w:r>
          </w:p>
        </w:tc>
      </w:tr>
      <w:tr>
        <w:tc>
          <w:tcPr>
            <w:tcW w:type="dxa" w:w="17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CRM &amp; Estimation</w:t>
            </w:r>
          </w:p>
        </w:tc>
        <w:tc>
          <w:tcPr>
            <w:tcW w:type="dxa" w:w="63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Pipeline, lead conversion, quotation register &amp; revisions, campaign ROI, estimate vs. award</w:t>
            </w:r>
          </w:p>
        </w:tc>
        <w:tc>
          <w:tcPr>
            <w:tcW w:type="dxa" w:w="130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P2</w:t>
            </w:r>
          </w:p>
        </w:tc>
      </w:tr>
      <w:tr>
        <w:tc>
          <w:tcPr>
            <w:tcW w:type="dxa" w:w="17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Projects</w:t>
            </w:r>
          </w:p>
        </w:tc>
        <w:tc>
          <w:tcPr>
            <w:tcW w:type="dxa" w:w="6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Progress S-curve, budget vs. actual, resource/manpower, subcontract &amp; extra-work, committed vs. actual</w:t>
            </w:r>
          </w:p>
        </w:tc>
        <w:tc>
          <w:tcPr>
            <w:tcW w:type="dxa" w:w="130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P3</w:t>
            </w:r>
          </w:p>
        </w:tc>
      </w:tr>
      <w:tr>
        <w:tc>
          <w:tcPr>
            <w:tcW w:type="dxa" w:w="17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HSE</w:t>
            </w:r>
          </w:p>
        </w:tc>
        <w:tc>
          <w:tcPr>
            <w:tcW w:type="dxa" w:w="63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Active permits, incident &amp; CAPA statistics, inspection scores, certification/medical expiry</w:t>
            </w:r>
          </w:p>
        </w:tc>
        <w:tc>
          <w:tcPr>
            <w:tcW w:type="dxa" w:w="130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P3</w:t>
            </w:r>
          </w:p>
        </w:tc>
      </w:tr>
      <w:tr>
        <w:tc>
          <w:tcPr>
            <w:tcW w:type="dxa" w:w="17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HR &amp; Admin</w:t>
            </w:r>
          </w:p>
        </w:tc>
        <w:tc>
          <w:tcPr>
            <w:tcW w:type="dxa" w:w="63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Attendance/overtime, leave balances, payroll register, competency matrix, visa tracker, task/ticket status</w:t>
            </w:r>
          </w:p>
        </w:tc>
        <w:tc>
          <w:tcPr>
            <w:tcW w:type="dxa" w:w="130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P3</w:t>
            </w:r>
          </w:p>
        </w:tc>
      </w:tr>
      <w:tr>
        <w:tc>
          <w:tcPr>
            <w:tcW w:type="dxa" w:w="17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Executive</w:t>
            </w:r>
          </w:p>
        </w:tc>
        <w:tc>
          <w:tcPr>
            <w:tcW w:type="dxa" w:w="63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Cross-module KPI dashboard, EAC forecast, management pack</w:t>
            </w:r>
          </w:p>
        </w:tc>
        <w:tc>
          <w:tcPr>
            <w:tcW w:type="dxa" w:w="130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P4</w:t>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7.  Key Data Entities</w:t>
      </w:r>
    </w:p>
    <w:p>
      <w:pPr>
        <w:spacing w:after="140" w:before="0" w:line="276"/>
      </w:pPr>
      <w:r>
        <w:rPr>
          <w:rFonts w:ascii="Calibri" w:cs="Calibri" w:eastAsia="Calibri" w:hAnsi="Calibri"/>
          <w:b w:val="false"/>
          <w:bCs w:val="false"/>
          <w:i w:val="false"/>
          <w:iCs w:val="false"/>
          <w:caps w:val="false"/>
          <w:color w:val="2B2B2B"/>
          <w:sz w:val="21"/>
          <w:szCs w:val="21"/>
        </w:rPr>
        <w:t xml:space="preserve">The core business entities shared across the ERP. All transactions ultimately reference Project, Item/Material, Vendor, Employee and Account, which is what makes cross-module reporting possible.</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400"/>
        <w:gridCol w:w="4560"/>
        <w:gridCol w:w="2400"/>
      </w:tblGrid>
      <w:tr>
        <w:trPr>
          <w:tblHeader/>
        </w:trPr>
        <w:tc>
          <w:tcPr>
            <w:tcW w:type="dxa" w:w="24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Entity</w:t>
            </w:r>
          </w:p>
        </w:tc>
        <w:tc>
          <w:tcPr>
            <w:tcW w:type="dxa" w:w="4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Description</w:t>
            </w:r>
          </w:p>
        </w:tc>
        <w:tc>
          <w:tcPr>
            <w:tcW w:type="dxa" w:w="24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Primary users</w:t>
            </w:r>
          </w:p>
        </w:tc>
      </w:tr>
      <w:tr>
        <w:tc>
          <w:tcPr>
            <w:tcW w:type="dxa" w:w="2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Project / WBS</w:t>
            </w:r>
          </w:p>
        </w:tc>
        <w:tc>
          <w:tcPr>
            <w:tcW w:type="dxa" w:w="4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Awarded job with budget, cost codes and schedule</w:t>
            </w:r>
          </w:p>
        </w:tc>
        <w:tc>
          <w:tcPr>
            <w:tcW w:type="dxa" w:w="2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Projects, Finance, Inventory, HR</w:t>
            </w:r>
          </w:p>
        </w:tc>
      </w:tr>
      <w:tr>
        <w:tc>
          <w:tcPr>
            <w:tcW w:type="dxa" w:w="2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Item / Material</w:t>
            </w:r>
          </w:p>
        </w:tc>
        <w:tc>
          <w:tcPr>
            <w:tcW w:type="dxa" w:w="4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Stock item with type, unit, min level, calibration flag</w:t>
            </w:r>
          </w:p>
        </w:tc>
        <w:tc>
          <w:tcPr>
            <w:tcW w:type="dxa" w:w="2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Inventory, Projects</w:t>
            </w:r>
          </w:p>
        </w:tc>
      </w:tr>
      <w:tr>
        <w:tc>
          <w:tcPr>
            <w:tcW w:type="dxa" w:w="2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Vendor</w:t>
            </w:r>
          </w:p>
        </w:tc>
        <w:tc>
          <w:tcPr>
            <w:tcW w:type="dxa" w:w="4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Supplier/subcontractor with compliance &amp; rating</w:t>
            </w:r>
          </w:p>
        </w:tc>
        <w:tc>
          <w:tcPr>
            <w:tcW w:type="dxa" w:w="2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Inventory/SCM, Finance</w:t>
            </w:r>
          </w:p>
        </w:tc>
      </w:tr>
      <w:tr>
        <w:tc>
          <w:tcPr>
            <w:tcW w:type="dxa" w:w="2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Customer</w:t>
            </w:r>
          </w:p>
        </w:tc>
        <w:tc>
          <w:tcPr>
            <w:tcW w:type="dxa" w:w="4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Client with enquiries, quotations, contracts</w:t>
            </w:r>
          </w:p>
        </w:tc>
        <w:tc>
          <w:tcPr>
            <w:tcW w:type="dxa" w:w="2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CRM, Finance</w:t>
            </w:r>
          </w:p>
        </w:tc>
      </w:tr>
      <w:tr>
        <w:tc>
          <w:tcPr>
            <w:tcW w:type="dxa" w:w="2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Employee</w:t>
            </w:r>
          </w:p>
        </w:tc>
        <w:tc>
          <w:tcPr>
            <w:tcW w:type="dxa" w:w="4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Person with job, grade, documents, certifications</w:t>
            </w:r>
          </w:p>
        </w:tc>
        <w:tc>
          <w:tcPr>
            <w:tcW w:type="dxa" w:w="2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HR, Projects, HSE</w:t>
            </w:r>
          </w:p>
        </w:tc>
      </w:tr>
      <w:tr>
        <w:tc>
          <w:tcPr>
            <w:tcW w:type="dxa" w:w="2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Document (MR/PO/GRN/MRN/Quote/Invoice)</w:t>
            </w:r>
          </w:p>
        </w:tc>
        <w:tc>
          <w:tcPr>
            <w:tcW w:type="dxa" w:w="4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Numbered transaction records</w:t>
            </w:r>
          </w:p>
        </w:tc>
        <w:tc>
          <w:tcPr>
            <w:tcW w:type="dxa" w:w="2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All modules</w:t>
            </w:r>
          </w:p>
        </w:tc>
      </w:tr>
      <w:tr>
        <w:tc>
          <w:tcPr>
            <w:tcW w:type="dxa" w:w="2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Account / Cost Code</w:t>
            </w:r>
          </w:p>
        </w:tc>
        <w:tc>
          <w:tcPr>
            <w:tcW w:type="dxa" w:w="4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GL account and project cost code</w:t>
            </w:r>
          </w:p>
        </w:tc>
        <w:tc>
          <w:tcPr>
            <w:tcW w:type="dxa" w:w="2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Finance</w:t>
            </w:r>
          </w:p>
        </w:tc>
      </w:tr>
      <w:tr>
        <w:tc>
          <w:tcPr>
            <w:tcW w:type="dxa" w:w="2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Equipment/Tool</w:t>
            </w:r>
          </w:p>
        </w:tc>
        <w:tc>
          <w:tcPr>
            <w:tcW w:type="dxa" w:w="4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Serialized asset with calibration &amp; maintenance</w:t>
            </w:r>
          </w:p>
        </w:tc>
        <w:tc>
          <w:tcPr>
            <w:tcW w:type="dxa" w:w="2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Inventory, Projects, HSE</w:t>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8.  Integrations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3000"/>
        <w:gridCol w:w="5060"/>
        <w:gridCol w:w="1300"/>
      </w:tblGrid>
      <w:tr>
        <w:trPr>
          <w:tblHeader/>
        </w:trPr>
        <w:tc>
          <w:tcPr>
            <w:tcW w:type="dxa" w:w="30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Integration</w:t>
            </w:r>
          </w:p>
        </w:tc>
        <w:tc>
          <w:tcPr>
            <w:tcW w:type="dxa" w:w="50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Purpose</w:t>
            </w:r>
          </w:p>
        </w:tc>
        <w:tc>
          <w:tcPr>
            <w:tcW w:type="dxa" w:w="13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Phase</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Biometric attendance devices</w:t>
            </w:r>
          </w:p>
        </w:tc>
        <w:tc>
          <w:tcPr>
            <w:tcW w:type="dxa" w:w="50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Import check-in/out for attendance &amp; payroll</w:t>
            </w:r>
          </w:p>
        </w:tc>
        <w:tc>
          <w:tcPr>
            <w:tcW w:type="dxa" w:w="130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P3</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Email gateway</w:t>
            </w:r>
          </w:p>
        </w:tc>
        <w:tc>
          <w:tcPr>
            <w:tcW w:type="dxa" w:w="50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Send quotations, POs, payslips and notifications</w:t>
            </w:r>
          </w:p>
        </w:tc>
        <w:tc>
          <w:tcPr>
            <w:tcW w:type="dxa" w:w="130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P1</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SMS / WhatsApp gateway</w:t>
            </w:r>
          </w:p>
        </w:tc>
        <w:tc>
          <w:tcPr>
            <w:tcW w:type="dxa" w:w="50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Alerts for approvals, expiries and reorders</w:t>
            </w:r>
          </w:p>
        </w:tc>
        <w:tc>
          <w:tcPr>
            <w:tcW w:type="dxa" w:w="130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P1</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Customer portal</w:t>
            </w:r>
          </w:p>
        </w:tc>
        <w:tc>
          <w:tcPr>
            <w:tcW w:type="dxa" w:w="50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Enquiry submission and quotation tracking</w:t>
            </w:r>
          </w:p>
        </w:tc>
        <w:tc>
          <w:tcPr>
            <w:tcW w:type="dxa" w:w="130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P2</w:t>
            </w:r>
          </w:p>
        </w:tc>
      </w:tr>
      <w:tr>
        <w:tc>
          <w:tcPr>
            <w:tcW w:type="dxa" w:w="30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Vendor portal</w:t>
            </w:r>
          </w:p>
        </w:tc>
        <w:tc>
          <w:tcPr>
            <w:tcW w:type="dxa" w:w="50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Registration, RFQ response and order tracking</w:t>
            </w:r>
          </w:p>
        </w:tc>
        <w:tc>
          <w:tcPr>
            <w:tcW w:type="dxa" w:w="130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P2</w:t>
            </w:r>
          </w:p>
        </w:tc>
      </w:tr>
      <w:tr>
        <w:tc>
          <w:tcPr>
            <w:tcW w:type="dxa" w:w="30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Payment/bank file (optional)</w:t>
            </w:r>
          </w:p>
        </w:tc>
        <w:tc>
          <w:tcPr>
            <w:tcW w:type="dxa" w:w="50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Payment file export for AP &amp; payroll</w:t>
            </w:r>
          </w:p>
        </w:tc>
        <w:tc>
          <w:tcPr>
            <w:tcW w:type="dxa" w:w="130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8"/>
                <w:szCs w:val="18"/>
              </w:rPr>
              <w:t xml:space="preserve">P1/P3</w:t>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9.  Non-Functional Specifications</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300"/>
        <w:gridCol w:w="7060"/>
      </w:tblGrid>
      <w:tr>
        <w:trPr>
          <w:tblHeader/>
        </w:trPr>
        <w:tc>
          <w:tcPr>
            <w:tcW w:type="dxa" w:w="23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Area</w:t>
            </w:r>
          </w:p>
        </w:tc>
        <w:tc>
          <w:tcPr>
            <w:tcW w:type="dxa" w:w="70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Specification</w:t>
            </w:r>
          </w:p>
        </w:tc>
      </w:tr>
      <w:tr>
        <w:tc>
          <w:tcPr>
            <w:tcW w:type="dxa" w:w="23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Security</w:t>
            </w:r>
          </w:p>
        </w:tc>
        <w:tc>
          <w:tcPr>
            <w:tcW w:type="dxa" w:w="70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RBAC, encryption of sensitive HR/payroll/finance data, secure authentication</w:t>
            </w:r>
          </w:p>
        </w:tc>
      </w:tr>
      <w:tr>
        <w:tc>
          <w:tcPr>
            <w:tcW w:type="dxa" w:w="23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Audit &amp; compliance</w:t>
            </w:r>
          </w:p>
        </w:tc>
        <w:tc>
          <w:tcPr>
            <w:tcW w:type="dxa" w:w="70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Immutable audit trail on key transactions; statutory record retention</w:t>
            </w:r>
          </w:p>
        </w:tc>
      </w:tr>
      <w:tr>
        <w:tc>
          <w:tcPr>
            <w:tcW w:type="dxa" w:w="23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Availability</w:t>
            </w:r>
          </w:p>
        </w:tc>
        <w:tc>
          <w:tcPr>
            <w:tcW w:type="dxa" w:w="70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Cloud-hosted with agreed uptime SLA; web and mobile access</w:t>
            </w:r>
          </w:p>
        </w:tc>
      </w:tr>
      <w:tr>
        <w:tc>
          <w:tcPr>
            <w:tcW w:type="dxa" w:w="23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Performance</w:t>
            </w:r>
          </w:p>
        </w:tc>
        <w:tc>
          <w:tcPr>
            <w:tcW w:type="dxa" w:w="70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Standard screens and reports respond within a few seconds under normal load</w:t>
            </w:r>
          </w:p>
        </w:tc>
      </w:tr>
      <w:tr>
        <w:tc>
          <w:tcPr>
            <w:tcW w:type="dxa" w:w="23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Scalability</w:t>
            </w:r>
          </w:p>
        </w:tc>
        <w:tc>
          <w:tcPr>
            <w:tcW w:type="dxa" w:w="70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Supports growth in users, projects, sites and transactions without redesign</w:t>
            </w:r>
          </w:p>
        </w:tc>
      </w:tr>
      <w:tr>
        <w:tc>
          <w:tcPr>
            <w:tcW w:type="dxa" w:w="23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Usability</w:t>
            </w:r>
          </w:p>
        </w:tc>
        <w:tc>
          <w:tcPr>
            <w:tcW w:type="dxa" w:w="70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Consistent UI, minimal-training design, mobile-first for site actions</w:t>
            </w:r>
          </w:p>
        </w:tc>
      </w:tr>
      <w:tr>
        <w:tc>
          <w:tcPr>
            <w:tcW w:type="dxa" w:w="23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Localisation</w:t>
            </w:r>
          </w:p>
        </w:tc>
        <w:tc>
          <w:tcPr>
            <w:tcW w:type="dxa" w:w="70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Multi-currency; configurable tax/statutory rules per country</w:t>
            </w:r>
          </w:p>
        </w:tc>
      </w:tr>
      <w:tr>
        <w:tc>
          <w:tcPr>
            <w:tcW w:type="dxa" w:w="23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Backup &amp; recovery</w:t>
            </w:r>
          </w:p>
        </w:tc>
        <w:tc>
          <w:tcPr>
            <w:tcW w:type="dxa" w:w="70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Automated backups with defined RPO/RTO</w:t>
            </w:r>
          </w:p>
        </w:tc>
      </w:tr>
      <w:tr>
        <w:tc>
          <w:tcPr>
            <w:tcW w:type="dxa" w:w="23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Data migration</w:t>
            </w:r>
          </w:p>
        </w:tc>
        <w:tc>
          <w:tcPr>
            <w:tcW w:type="dxa" w:w="70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Structured migration and validation of master data and open transactions</w:t>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10.  Assumptions, Dependencies &amp; Open Items</w:t>
      </w:r>
    </w:p>
    <w:p>
      <w:pPr>
        <w:pStyle w:val="Heading3"/>
        <w:spacing w:after="80" w:before="180"/>
      </w:pPr>
      <w:r>
        <w:rPr>
          <w:rFonts w:ascii="Calibri" w:cs="Calibri" w:eastAsia="Calibri" w:hAnsi="Calibri"/>
          <w:b/>
          <w:bCs/>
          <w:i w:val="false"/>
          <w:iCs w:val="false"/>
          <w:caps w:val="false"/>
          <w:color w:val="2E8C8C"/>
          <w:sz w:val="21"/>
          <w:szCs w:val="21"/>
        </w:rPr>
        <w:t xml:space="preserve">Assumptions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Business owners confirm detailed workflows, approval levels and value thresholds during design.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Existing master data can be cleansed and provided for migration.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Connectivity is available at office and, where feasible, at sites (mobile offline capture where needed).</w:t>
      </w:r>
    </w:p>
    <w:p>
      <w:pPr>
        <w:pStyle w:val="Heading3"/>
        <w:spacing w:after="80" w:before="180"/>
      </w:pPr>
      <w:r>
        <w:rPr>
          <w:rFonts w:ascii="Calibri" w:cs="Calibri" w:eastAsia="Calibri" w:hAnsi="Calibri"/>
          <w:b/>
          <w:bCs/>
          <w:i w:val="false"/>
          <w:iCs w:val="false"/>
          <w:caps w:val="false"/>
          <w:color w:val="2E8C8C"/>
          <w:sz w:val="21"/>
          <w:szCs w:val="21"/>
        </w:rPr>
        <w:t xml:space="preserve">Dependencies</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Biometric hardware and email/SMS/WhatsApp gateways available for integration.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Country tax/statutory rules provided for payroll and finance configuration.</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Timely stakeholder sign-off at each phase gate.</w:t>
      </w:r>
    </w:p>
    <w:p>
      <w:pPr>
        <w:pStyle w:val="Heading3"/>
        <w:spacing w:after="80" w:before="180"/>
      </w:pPr>
      <w:r>
        <w:rPr>
          <w:rFonts w:ascii="Calibri" w:cs="Calibri" w:eastAsia="Calibri" w:hAnsi="Calibri"/>
          <w:b/>
          <w:bCs/>
          <w:i w:val="false"/>
          <w:iCs w:val="false"/>
          <w:caps w:val="false"/>
          <w:color w:val="2E8C8C"/>
          <w:sz w:val="21"/>
          <w:szCs w:val="21"/>
        </w:rPr>
        <w:t xml:space="preserve">Open Items to Confirm</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Exact approval levels and value thresholds per document type.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Revenue-recognition method (cost-to-cost vs. milestone) per contract type.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Leave entitlements and overtime rules per country/grade.</w:t>
      </w:r>
    </w:p>
    <w:p>
      <w:pPr>
        <w:pStyle w:val="ListParagraph"/>
        <w:numPr>
          <w:ilvl w:val="0"/>
          <w:numId w:val="2"/>
        </w:numPr>
        <w:spacing w:after="50" w:line="264"/>
      </w:pPr>
      <w:r>
        <w:rPr>
          <w:rFonts w:ascii="Calibri" w:cs="Calibri" w:eastAsia="Calibri" w:hAnsi="Calibri"/>
          <w:b w:val="false"/>
          <w:bCs w:val="false"/>
          <w:i w:val="false"/>
          <w:iCs w:val="false"/>
          <w:caps w:val="false"/>
          <w:color w:val="2B2B2B"/>
          <w:sz w:val="20"/>
          <w:szCs w:val="20"/>
        </w:rPr>
        <w:t xml:space="preserve">Preferred alert channels (email / SMS / WhatsApp) and lead-times.</w:t>
      </w:r>
    </w:p>
    <w:p>
      <w:r>
        <w:br w:type="page"/>
      </w:r>
    </w:p>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11.  Requirements Traceability Matrix</w:t>
      </w:r>
    </w:p>
    <w:p>
      <w:pPr>
        <w:spacing w:after="140" w:before="0" w:line="276"/>
      </w:pPr>
      <w:r>
        <w:rPr>
          <w:rFonts w:ascii="Calibri" w:cs="Calibri" w:eastAsia="Calibri" w:hAnsi="Calibri"/>
          <w:b w:val="false"/>
          <w:bCs w:val="false"/>
          <w:i w:val="false"/>
          <w:iCs w:val="false"/>
          <w:caps w:val="false"/>
          <w:color w:val="2B2B2B"/>
          <w:sz w:val="21"/>
          <w:szCs w:val="21"/>
        </w:rPr>
        <w:t xml:space="preserve">Confirms that every BRD requirement is covered by a functional specification and mapped to a delivery phase.</w:t>
      </w:r>
    </w:p>
    <w:tbl>
      <w:tblPr>
        <w:tblW w:type="dxa" w:w="7320"/>
        <w:tblBorders>
          <w:top w:val="single" w:color="C9D6E5" w:sz="4"/>
          <w:left w:val="single" w:color="C9D6E5" w:sz="4"/>
          <w:bottom w:val="single" w:color="C9D6E5" w:sz="4"/>
          <w:right w:val="single" w:color="C9D6E5" w:sz="4"/>
          <w:insideH w:val="single" w:color="C9D6E5" w:sz="4"/>
          <w:insideV w:val="single" w:color="C9D6E5" w:sz="4"/>
        </w:tblBorders>
      </w:tblPr>
      <w:tblGrid>
        <w:gridCol w:w="1560"/>
        <w:gridCol w:w="1620"/>
        <w:gridCol w:w="480"/>
        <w:gridCol w:w="1560"/>
        <w:gridCol w:w="1620"/>
        <w:gridCol w:w="480"/>
      </w:tblGrid>
      <w:tr>
        <w:trPr>
          <w:tblHeader/>
        </w:trPr>
        <w:tc>
          <w:tcPr>
            <w:tcW w:type="dxa" w:w="1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BRD Req</w:t>
            </w:r>
          </w:p>
        </w:tc>
        <w:tc>
          <w:tcPr>
            <w:tcW w:type="dxa" w:w="162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FSD Ref</w:t>
            </w:r>
          </w:p>
        </w:tc>
        <w:tc>
          <w:tcPr>
            <w:tcW w:type="dxa" w:w="48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Ph</w:t>
            </w:r>
          </w:p>
        </w:tc>
        <w:tc>
          <w:tcPr>
            <w:tcW w:type="dxa" w:w="15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BRD Req</w:t>
            </w:r>
          </w:p>
        </w:tc>
        <w:tc>
          <w:tcPr>
            <w:tcW w:type="dxa" w:w="162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FSD Ref</w:t>
            </w:r>
          </w:p>
        </w:tc>
        <w:tc>
          <w:tcPr>
            <w:tcW w:type="dxa" w:w="48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Ph</w:t>
            </w:r>
          </w:p>
        </w:tc>
      </w:tr>
      <w:tr>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GRP-01–09, FIN-05</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FS-GRP-01</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P1</w:t>
            </w:r>
          </w:p>
        </w:tc>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PRJ-01</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FS-PRJ-01</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r>
      <w:tr>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INV-01–04</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FS-INV-01</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PRJ-03–05</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FS-PRJ-02</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r>
      <w:tr>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INV-05–09</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FS-INV-02</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PRJ-06,07,08,10</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FS-PRJ-03</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r>
      <w:tr>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INV-10–11</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FS-INV-03</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PRJ-02,09</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FS-PRJ-04</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r>
      <w:tr>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INV-12,13,19</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FS-INV-04</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PRJ-11–15</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FS-PRJ-05</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r>
      <w:tr>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INV-14–15</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FS-INV-05</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HSE-01</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FS-HSE-01</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r>
      <w:tr>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INV-16–18</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FS-INV-06</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HSE-02–03</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FS-HSE-02</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r>
      <w:tr>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INV-20–22</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FS-INV-07</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HSE-04–06</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FS-HSE-03</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r>
      <w:tr>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HR-01</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FS-HR-01</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P1</w:t>
            </w:r>
          </w:p>
        </w:tc>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FIN-01</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FS-FIN-01</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P1</w:t>
            </w:r>
          </w:p>
        </w:tc>
      </w:tr>
      <w:tr>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HR-02</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FS-HR-02</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FIN-05–06</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FS-FIN-02</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P1</w:t>
            </w:r>
          </w:p>
        </w:tc>
      </w:tr>
      <w:tr>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HR-03–06</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FS-HR-03</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FIN-02</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FS-FIN-03</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P1</w:t>
            </w:r>
          </w:p>
        </w:tc>
      </w:tr>
      <w:tr>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HR-07–08</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FS-HR-04</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FIN-03</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FS-FIN-04</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P1</w:t>
            </w:r>
          </w:p>
        </w:tc>
      </w:tr>
      <w:tr>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HR-09–11</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FS-HR-05</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FIN-07–09</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FS-FIN-05</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P1</w:t>
            </w:r>
          </w:p>
        </w:tc>
      </w:tr>
      <w:tr>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HR-12–14</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FS-HR-06</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FIN-04</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FS-PLT-02</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P1</w:t>
            </w:r>
          </w:p>
        </w:tc>
      </w:tr>
      <w:tr>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HR-15–17</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FS-HR-07</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ADD-01</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FS-BI-01</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P4</w:t>
            </w:r>
          </w:p>
        </w:tc>
      </w:tr>
      <w:tr>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HR-18–23</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FS-HR-08</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P3</w:t>
            </w:r>
          </w:p>
        </w:tc>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ADD-04</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FS-PLT-03</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P1</w:t>
            </w:r>
          </w:p>
        </w:tc>
      </w:tr>
      <w:tr>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CRM-01–04</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FS-CRM-01</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ADD-05</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FS-PLT-04</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P1</w:t>
            </w:r>
          </w:p>
        </w:tc>
      </w:tr>
      <w:tr>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CRM-11–17</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FS-CRM-02</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ADD-06</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FS-PLT-02</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P1</w:t>
            </w:r>
          </w:p>
        </w:tc>
      </w:tr>
      <w:tr>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CRM-05–10</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FS-CRM-03</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ADD-07</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FS-PLT-01 / 05</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P1</w:t>
            </w:r>
          </w:p>
        </w:tc>
      </w:tr>
      <w:tr>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CRM-18</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FS-CRM-04</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c>
          <w:tcPr>
            <w:tcW w:type="dxa" w:w="15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ADD-03,08</w:t>
            </w:r>
          </w:p>
        </w:tc>
        <w:tc>
          <w:tcPr>
            <w:tcW w:type="dxa" w:w="162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FS-INV-05</w:t>
            </w:r>
          </w:p>
        </w:tc>
        <w:tc>
          <w:tcPr>
            <w:tcW w:type="dxa" w:w="480"/>
            <w:shd w:fill="F4F8FC"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r>
      <w:tr>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CRM-11, ADD-09</w:t>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FS-CRM-05</w:t>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P2</w:t>
            </w:r>
          </w:p>
        </w:tc>
        <w:tc>
          <w:tcPr>
            <w:tcW w:type="dxa" w:w="15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
            </w:r>
          </w:p>
        </w:tc>
        <w:tc>
          <w:tcPr>
            <w:tcW w:type="dxa" w:w="162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6"/>
                <w:szCs w:val="16"/>
              </w:rPr>
              <w:t xml:space="preserve"/>
            </w:r>
          </w:p>
        </w:tc>
        <w:tc>
          <w:tcPr>
            <w:tcW w:type="dxa" w:w="480"/>
            <w:shd w:fill="FFFFFF" w:color="auto" w:val="clear"/>
            <w:tcMar>
              <w:top w:type="dxa" w:w="50"/>
              <w:left w:type="dxa" w:w="100"/>
              <w:bottom w:type="dxa" w:w="50"/>
              <w:right w:type="dxa" w:w="100"/>
            </w:tcMar>
            <w:vAlign w:val="center"/>
          </w:tcPr>
          <w:p>
            <w:pPr>
              <w:spacing w:after="0"/>
              <w:jc w:val="center"/>
            </w:pPr>
            <w:r>
              <w:rPr>
                <w:rFonts w:ascii="Calibri" w:cs="Calibri" w:eastAsia="Calibri" w:hAnsi="Calibri"/>
                <w:b w:val="false"/>
                <w:bCs w:val="false"/>
                <w:i w:val="false"/>
                <w:iCs w:val="false"/>
                <w:caps w:val="false"/>
                <w:color w:val="2B2B2B"/>
                <w:sz w:val="16"/>
                <w:szCs w:val="16"/>
              </w:rPr>
              <w:t xml:space="preserve"/>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12.  Glossary</w:t>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600"/>
        <w:gridCol w:w="6760"/>
      </w:tblGrid>
      <w:tr>
        <w:trPr>
          <w:tblHeader/>
        </w:trPr>
        <w:tc>
          <w:tcPr>
            <w:tcW w:type="dxa" w:w="26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Term</w:t>
            </w:r>
          </w:p>
        </w:tc>
        <w:tc>
          <w:tcPr>
            <w:tcW w:type="dxa" w:w="67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FSD / BRD</w:t>
            </w:r>
          </w:p>
        </w:tc>
        <w:tc>
          <w:tcPr>
            <w:tcW w:type="dxa" w:w="67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Functional Specification / Business Requirements Document</w:t>
            </w:r>
          </w:p>
        </w:tc>
      </w:tr>
      <w:tr>
        <w:tc>
          <w:tcPr>
            <w:tcW w:type="dxa" w:w="2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RBAC</w:t>
            </w:r>
          </w:p>
        </w:tc>
        <w:tc>
          <w:tcPr>
            <w:tcW w:type="dxa" w:w="67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Role-Based Access Control</w:t>
            </w:r>
          </w:p>
        </w:tc>
      </w:tr>
      <w:tr>
        <w:tc>
          <w:tcPr>
            <w:tcW w:type="dxa" w:w="2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MR / MRN</w:t>
            </w:r>
          </w:p>
        </w:tc>
        <w:tc>
          <w:tcPr>
            <w:tcW w:type="dxa" w:w="67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Material Request / Material Return Note</w:t>
            </w:r>
          </w:p>
        </w:tc>
      </w:tr>
      <w:tr>
        <w:tc>
          <w:tcPr>
            <w:tcW w:type="dxa" w:w="2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RFQ / PO / GRN</w:t>
            </w:r>
          </w:p>
        </w:tc>
        <w:tc>
          <w:tcPr>
            <w:tcW w:type="dxa" w:w="67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Request for Quotation / Purchase Order / Goods Receipt Note</w:t>
            </w:r>
          </w:p>
        </w:tc>
      </w:tr>
      <w:tr>
        <w:tc>
          <w:tcPr>
            <w:tcW w:type="dxa" w:w="2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BOQ / MTO</w:t>
            </w:r>
          </w:p>
        </w:tc>
        <w:tc>
          <w:tcPr>
            <w:tcW w:type="dxa" w:w="67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Bill of Quantities / Material Take-Off</w:t>
            </w:r>
          </w:p>
        </w:tc>
      </w:tr>
      <w:tr>
        <w:tc>
          <w:tcPr>
            <w:tcW w:type="dxa" w:w="2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WBS</w:t>
            </w:r>
          </w:p>
        </w:tc>
        <w:tc>
          <w:tcPr>
            <w:tcW w:type="dxa" w:w="67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Work Breakdown Structure</w:t>
            </w:r>
          </w:p>
        </w:tc>
      </w:tr>
      <w:tr>
        <w:tc>
          <w:tcPr>
            <w:tcW w:type="dxa" w:w="2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WIP / CPI / EAC</w:t>
            </w:r>
          </w:p>
        </w:tc>
        <w:tc>
          <w:tcPr>
            <w:tcW w:type="dxa" w:w="67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Work-in-Progress / Cost Performance Index / Estimate at Completion</w:t>
            </w:r>
          </w:p>
        </w:tc>
      </w:tr>
      <w:tr>
        <w:tc>
          <w:tcPr>
            <w:tcW w:type="dxa" w:w="2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OTIF</w:t>
            </w:r>
          </w:p>
        </w:tc>
        <w:tc>
          <w:tcPr>
            <w:tcW w:type="dxa" w:w="67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On-Time In-Full delivery measure</w:t>
            </w:r>
          </w:p>
        </w:tc>
      </w:tr>
      <w:tr>
        <w:tc>
          <w:tcPr>
            <w:tcW w:type="dxa" w:w="2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PTW / RCA / CAPA</w:t>
            </w:r>
          </w:p>
        </w:tc>
        <w:tc>
          <w:tcPr>
            <w:tcW w:type="dxa" w:w="67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Permit to Work / Root-Cause Analysis / Corrective &amp; Preventive Action</w:t>
            </w:r>
          </w:p>
        </w:tc>
      </w:tr>
      <w:tr>
        <w:tc>
          <w:tcPr>
            <w:tcW w:type="dxa" w:w="2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ITP / NDT / MTC</w:t>
            </w:r>
          </w:p>
        </w:tc>
        <w:tc>
          <w:tcPr>
            <w:tcW w:type="dxa" w:w="67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Inspection Test Plan / Non-Destructive Testing / Mill Test Certificate</w:t>
            </w:r>
          </w:p>
        </w:tc>
      </w:tr>
      <w:tr>
        <w:tc>
          <w:tcPr>
            <w:tcW w:type="dxa" w:w="2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FOC</w:t>
            </w:r>
          </w:p>
        </w:tc>
        <w:tc>
          <w:tcPr>
            <w:tcW w:type="dxa" w:w="67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Free of Cost (client-supplied materials)</w:t>
            </w:r>
          </w:p>
        </w:tc>
      </w:tr>
      <w:tr>
        <w:tc>
          <w:tcPr>
            <w:tcW w:type="dxa" w:w="26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LOP / Comp-Off</w:t>
            </w:r>
          </w:p>
        </w:tc>
        <w:tc>
          <w:tcPr>
            <w:tcW w:type="dxa" w:w="67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Loss of Pay / Compensatory Off</w:t>
            </w:r>
          </w:p>
        </w:tc>
      </w:tr>
      <w:tr>
        <w:tc>
          <w:tcPr>
            <w:tcW w:type="dxa" w:w="26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RPO / RTO</w:t>
            </w:r>
          </w:p>
        </w:tc>
        <w:tc>
          <w:tcPr>
            <w:tcW w:type="dxa" w:w="67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Recovery Point / Recovery Time Objective</w:t>
            </w:r>
          </w:p>
        </w:tc>
      </w:tr>
    </w:tbl>
    <w:p>
      <w:pPr>
        <w:pStyle w:val="Heading1"/>
        <w:pBdr>
          <w:bottom w:val="single" w:color="2F6FB2" w:sz="14" w:space="6"/>
        </w:pBdr>
        <w:spacing w:after="140" w:before="320"/>
      </w:pPr>
      <w:r>
        <w:rPr>
          <w:rFonts w:ascii="Calibri" w:cs="Calibri" w:eastAsia="Calibri" w:hAnsi="Calibri"/>
          <w:b/>
          <w:bCs/>
          <w:i w:val="false"/>
          <w:iCs w:val="false"/>
          <w:caps w:val="false"/>
          <w:color w:val="1F3B57"/>
          <w:sz w:val="30"/>
          <w:szCs w:val="30"/>
        </w:rPr>
        <w:t xml:space="preserve">13.  Approval &amp; Sign-off</w:t>
      </w:r>
    </w:p>
    <w:p>
      <w:pPr>
        <w:spacing w:after="140" w:before="0" w:line="276"/>
      </w:pPr>
      <w:r>
        <w:rPr>
          <w:rFonts w:ascii="Calibri" w:cs="Calibri" w:eastAsia="Calibri" w:hAnsi="Calibri"/>
          <w:b w:val="false"/>
          <w:bCs w:val="false"/>
          <w:i w:val="false"/>
          <w:iCs w:val="false"/>
          <w:caps w:val="false"/>
          <w:color w:val="2B2B2B"/>
          <w:sz w:val="21"/>
          <w:szCs w:val="21"/>
        </w:rPr>
        <w:t xml:space="preserve">By signing below, the approvers confirm that this Functional Specification correctly reflects the intended behaviour of the White &amp; Bright Group ERP (aligned to approved BRD v1.2) and authorise the build of Phase 1.</w:t>
      </w:r>
    </w:p>
    <w:p>
      <w:pPr>
        <w:spacing w:after="120"/>
      </w:pPr>
      <w:r>
        <w:rPr>
          <w:rFonts w:ascii="Calibri" w:cs="Calibri" w:eastAsia="Calibri" w:hAnsi="Calibri"/>
          <w:b w:val="false"/>
          <w:bCs w:val="false"/>
          <w:i w:val="false"/>
          <w:iCs w:val="false"/>
          <w:caps w:val="false"/>
          <w:color w:val="222222"/>
          <w:sz w:val="21"/>
          <w:szCs w:val="21"/>
        </w:rPr>
        <w:t xml:space="preserve"/>
      </w:r>
    </w:p>
    <w:tbl>
      <w:tblPr>
        <w:tblW w:type="dxa" w:w="9360"/>
        <w:tblBorders>
          <w:top w:val="single" w:color="C9D6E5" w:sz="4"/>
          <w:left w:val="single" w:color="C9D6E5" w:sz="4"/>
          <w:bottom w:val="single" w:color="C9D6E5" w:sz="4"/>
          <w:right w:val="single" w:color="C9D6E5" w:sz="4"/>
          <w:insideH w:val="single" w:color="C9D6E5" w:sz="4"/>
          <w:insideV w:val="single" w:color="C9D6E5" w:sz="4"/>
        </w:tblBorders>
      </w:tblPr>
      <w:tblGrid>
        <w:gridCol w:w="2500"/>
        <w:gridCol w:w="3160"/>
        <w:gridCol w:w="2300"/>
        <w:gridCol w:w="1400"/>
      </w:tblGrid>
      <w:tr>
        <w:trPr>
          <w:tblHeader/>
        </w:trPr>
        <w:tc>
          <w:tcPr>
            <w:tcW w:type="dxa" w:w="25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Name</w:t>
            </w:r>
          </w:p>
        </w:tc>
        <w:tc>
          <w:tcPr>
            <w:tcW w:type="dxa" w:w="316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Role</w:t>
            </w:r>
          </w:p>
        </w:tc>
        <w:tc>
          <w:tcPr>
            <w:tcW w:type="dxa" w:w="23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Signature</w:t>
            </w:r>
          </w:p>
        </w:tc>
        <w:tc>
          <w:tcPr>
            <w:tcW w:type="dxa" w:w="1400"/>
            <w:shd w:fill="1F3B57" w:color="auto" w:val="clear"/>
            <w:tcMar>
              <w:top w:type="dxa" w:w="50"/>
              <w:left w:type="dxa" w:w="100"/>
              <w:bottom w:type="dxa" w:w="50"/>
              <w:right w:type="dxa" w:w="100"/>
            </w:tcMar>
            <w:vAlign w:val="center"/>
          </w:tcPr>
          <w:p>
            <w:pPr>
              <w:spacing w:after="0"/>
            </w:pPr>
            <w:r>
              <w:rPr>
                <w:rFonts w:ascii="Calibri" w:cs="Calibri" w:eastAsia="Calibri" w:hAnsi="Calibri"/>
                <w:b/>
                <w:bCs/>
                <w:i w:val="false"/>
                <w:iCs w:val="false"/>
                <w:caps w:val="false"/>
                <w:color w:val="FFFFFF"/>
                <w:sz w:val="19"/>
                <w:szCs w:val="19"/>
              </w:rPr>
              <w:t xml:space="preserve">Date</w:t>
            </w:r>
          </w:p>
        </w:tc>
      </w:tr>
      <w:tr>
        <w:tc>
          <w:tcPr>
            <w:tcW w:type="dxa" w:w="25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31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Managing Director</w:t>
            </w:r>
          </w:p>
        </w:tc>
        <w:tc>
          <w:tcPr>
            <w:tcW w:type="dxa" w:w="23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1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r>
      <w:tr>
        <w:tc>
          <w:tcPr>
            <w:tcW w:type="dxa" w:w="25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31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Director</w:t>
            </w:r>
          </w:p>
        </w:tc>
        <w:tc>
          <w:tcPr>
            <w:tcW w:type="dxa" w:w="23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1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r>
      <w:tr>
        <w:tc>
          <w:tcPr>
            <w:tcW w:type="dxa" w:w="25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31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Operations Manager</w:t>
            </w:r>
          </w:p>
        </w:tc>
        <w:tc>
          <w:tcPr>
            <w:tcW w:type="dxa" w:w="23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1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r>
      <w:tr>
        <w:tc>
          <w:tcPr>
            <w:tcW w:type="dxa" w:w="25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31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Finance Controller</w:t>
            </w:r>
          </w:p>
        </w:tc>
        <w:tc>
          <w:tcPr>
            <w:tcW w:type="dxa" w:w="23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1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r>
      <w:tr>
        <w:tc>
          <w:tcPr>
            <w:tcW w:type="dxa" w:w="25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31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HR Manager</w:t>
            </w:r>
          </w:p>
        </w:tc>
        <w:tc>
          <w:tcPr>
            <w:tcW w:type="dxa" w:w="23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1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r>
      <w:tr>
        <w:tc>
          <w:tcPr>
            <w:tcW w:type="dxa" w:w="25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316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Commercial / Estimation Head</w:t>
            </w:r>
          </w:p>
        </w:tc>
        <w:tc>
          <w:tcPr>
            <w:tcW w:type="dxa" w:w="23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1400"/>
            <w:shd w:fill="F4F8FC"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r>
      <w:tr>
        <w:tc>
          <w:tcPr>
            <w:tcW w:type="dxa" w:w="25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316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ERP Implementation Lead</w:t>
            </w:r>
          </w:p>
        </w:tc>
        <w:tc>
          <w:tcPr>
            <w:tcW w:type="dxa" w:w="23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c>
          <w:tcPr>
            <w:tcW w:type="dxa" w:w="1400"/>
            <w:shd w:fill="FFFFFF" w:color="auto" w:val="clear"/>
            <w:tcMar>
              <w:top w:type="dxa" w:w="50"/>
              <w:left w:type="dxa" w:w="100"/>
              <w:bottom w:type="dxa" w:w="50"/>
              <w:right w:type="dxa" w:w="100"/>
            </w:tcMar>
            <w:vAlign w:val="center"/>
          </w:tcPr>
          <w:p>
            <w:pPr>
              <w:spacing w:after="0"/>
            </w:pPr>
            <w:r>
              <w:rPr>
                <w:rFonts w:ascii="Calibri" w:cs="Calibri" w:eastAsia="Calibri" w:hAnsi="Calibri"/>
                <w:b w:val="false"/>
                <w:bCs w:val="false"/>
                <w:i w:val="false"/>
                <w:iCs w:val="false"/>
                <w:caps w:val="false"/>
                <w:color w:val="2B2B2B"/>
                <w:sz w:val="18"/>
                <w:szCs w:val="18"/>
              </w:rPr>
              <w:t xml:space="preserve"/>
            </w:r>
          </w:p>
        </w:tc>
      </w:tr>
    </w:tbl>
    <w:p>
      <w:pPr>
        <w:spacing w:after="200"/>
      </w:pPr>
      <w:r>
        <w:rPr>
          <w:rFonts w:ascii="Calibri" w:cs="Calibri" w:eastAsia="Calibri" w:hAnsi="Calibri"/>
          <w:b w:val="false"/>
          <w:bCs w:val="false"/>
          <w:i w:val="false"/>
          <w:iCs w:val="false"/>
          <w:caps w:val="false"/>
          <w:color w:val="222222"/>
          <w:sz w:val="21"/>
          <w:szCs w:val="21"/>
        </w:rPr>
        <w:t xml:space="preserve"/>
      </w:r>
    </w:p>
    <w:p>
      <w:pPr>
        <w:spacing w:before="200"/>
        <w:jc w:val="center"/>
      </w:pPr>
      <w:r>
        <w:rPr>
          <w:rFonts w:ascii="Calibri" w:cs="Calibri" w:eastAsia="Calibri" w:hAnsi="Calibri"/>
          <w:b w:val="false"/>
          <w:bCs w:val="false"/>
          <w:i/>
          <w:iCs/>
          <w:caps w:val="false"/>
          <w:color w:val="6B7683"/>
          <w:sz w:val="18"/>
          <w:szCs w:val="18"/>
        </w:rPr>
        <w:t xml:space="preserve">— End of Functional Specification Document —</w:t>
      </w:r>
    </w:p>
    <w:sectPr>
      <w:headerReference w:type="default" r:id="rId7"/>
      <w:footerReference w:type="default" r:id="rId8"/>
      <w:pgSz w:w="12240" w:h="15840"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5" w:sz="6" w:space="4"/>
      </w:pBdr>
      <w:tabs>
        <w:tab w:val="right" w:pos="9880"/>
      </w:tabs>
    </w:pPr>
    <w:r>
      <w:rPr>
        <w:rFonts w:ascii="Calibri" w:cs="Calibri" w:eastAsia="Calibri" w:hAnsi="Calibri"/>
        <w:b w:val="false"/>
        <w:bCs w:val="false"/>
        <w:i w:val="false"/>
        <w:iCs w:val="false"/>
        <w:caps w:val="false"/>
        <w:color w:val="6B7683"/>
        <w:sz w:val="16"/>
        <w:szCs w:val="16"/>
      </w:rPr>
      <w:t xml:space="preserve">Version 1.1 (aligned to BRD v1.2)  —  30 August 2026</w:t>
    </w:r>
    <w:r>
      <w:rPr>
        <w:rFonts w:ascii="Calibri" w:cs="Calibri" w:eastAsia="Calibri" w:hAnsi="Calibri"/>
        <w:color w:val="6B768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5" w:sz="6" w:space="4"/>
      </w:pBdr>
      <w:tabs>
        <w:tab w:val="right" w:pos="9880"/>
      </w:tabs>
    </w:pPr>
    <w:r>
      <w:rPr>
        <w:rFonts w:ascii="Calibri" w:cs="Calibri" w:eastAsia="Calibri" w:hAnsi="Calibri"/>
        <w:b w:val="false"/>
        <w:bCs w:val="false"/>
        <w:i w:val="false"/>
        <w:iCs w:val="false"/>
        <w:caps w:val="false"/>
        <w:color w:val="6B7683"/>
        <w:sz w:val="16"/>
        <w:szCs w:val="16"/>
      </w:rPr>
      <w:t xml:space="preserve">White &amp; Bright Group  |  ERP Functional Specification Document</w:t>
    </w:r>
    <w:r>
      <w:rPr>
        <w:rFonts w:ascii="Calibri" w:cs="Calibri" w:eastAsia="Calibri" w:hAnsi="Calibri"/>
        <w:color w:val="6B7683"/>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F6FB2"/>
      </w:rPr>
    </w:lvl>
    <w:lvl w:ilvl="1" w15:tentative="1">
      <w:start w:val="1"/>
      <w:numFmt w:val="bullet"/>
      <w:lvlText w:val="–"/>
      <w:lvlJc w:val="left"/>
      <w:pPr>
        <w:ind w:left="9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7"/>
      <w:sz w:val="30"/>
      <w:szCs w:val="30"/>
    </w:rPr>
  </w:style>
  <w:style w:type="paragraph" w:styleId="Heading2">
    <w:name w:val="Heading 2"/>
    <w:basedOn w:val="Normal"/>
    <w:next w:val="Normal"/>
    <w:qFormat/>
    <w:rPr>
      <w:rFonts w:ascii="Calibri" w:cs="Calibri" w:eastAsia="Calibri" w:hAnsi="Calibri"/>
      <w:b/>
      <w:bCs/>
      <w:color w:val="2F6FB2"/>
      <w:sz w:val="24"/>
      <w:szCs w:val="24"/>
    </w:rPr>
  </w:style>
  <w:style w:type="paragraph" w:styleId="Heading3">
    <w:name w:val="Heading 3"/>
    <w:basedOn w:val="Normal"/>
    <w:next w:val="Normal"/>
    <w:qFormat/>
    <w:rPr>
      <w:rFonts w:ascii="Calibri" w:cs="Calibri" w:eastAsia="Calibri" w:hAnsi="Calibri"/>
      <w:b/>
      <w:bCs/>
      <w:color w:val="2E8C8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&amp; Bright ERP — Functional Specification Document</dc:title>
  <dc:creator>White &amp; Bright — Business Analysis</dc:creator>
  <dc:description>Functional Specification Document for the White &amp; Bright ERP system</dc:description>
  <cp:lastModifiedBy>Un-named</cp:lastModifiedBy>
  <cp:revision>1</cp:revision>
  <dcterms:created xsi:type="dcterms:W3CDTF">2026-08-30T13:22:16.620Z</dcterms:created>
  <dcterms:modified xsi:type="dcterms:W3CDTF">2026-08-30T13:22:16.621Z</dcterms:modified>
</cp:coreProperties>
</file>

<file path=docProps/custom.xml><?xml version="1.0" encoding="utf-8"?>
<Properties xmlns="http://schemas.openxmlformats.org/officeDocument/2006/custom-properties" xmlns:vt="http://schemas.openxmlformats.org/officeDocument/2006/docPropsVTypes"/>
</file>