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F3B57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1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STATEMENT OF WORK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DCE7F2"/>
                <w:sz w:val="18"/>
                <w:szCs w:val="18"/>
              </w:rPr>
              <w:t xml:space="preserve">Pilot Engagement — White &amp; Bright Group ERP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B7683"/>
          <w:sz w:val="15"/>
          <w:szCs w:val="15"/>
        </w:rPr>
        <w:t xml:space="preserve">Between: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6A00"/>
          <w:sz w:val="18"/>
          <w:szCs w:val="18"/>
        </w:rPr>
        <w:t xml:space="preserve">[Developer / Your Company Name]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7683"/>
          <w:sz w:val="15"/>
          <w:szCs w:val="15"/>
        </w:rPr>
        <w:t xml:space="preserve">  (“Developer”)   and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5"/>
          <w:szCs w:val="15"/>
        </w:rPr>
        <w:t xml:space="preserve">White &amp; Bright Group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7683"/>
          <w:sz w:val="15"/>
          <w:szCs w:val="15"/>
        </w:rPr>
        <w:t xml:space="preserve">  (“Client”)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B7683"/>
          <w:sz w:val="15"/>
          <w:szCs w:val="15"/>
        </w:rPr>
        <w:t xml:space="preserve">Date: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6A00"/>
          <w:sz w:val="18"/>
          <w:szCs w:val="18"/>
        </w:rPr>
        <w:t xml:space="preserve">[Date]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B7683"/>
          <w:sz w:val="15"/>
          <w:szCs w:val="15"/>
        </w:rPr>
        <w:t xml:space="preserve">      Version: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7683"/>
          <w:sz w:val="15"/>
          <w:szCs w:val="15"/>
        </w:rPr>
        <w:t xml:space="preserve">1.0   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B7683"/>
          <w:sz w:val="15"/>
          <w:szCs w:val="15"/>
        </w:rPr>
        <w:t xml:space="preserve">Valid for: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7683"/>
          <w:sz w:val="15"/>
          <w:szCs w:val="15"/>
        </w:rPr>
        <w:t xml:space="preserve">30 days from the date above</w:t>
      </w:r>
    </w:p>
    <w:tbl>
      <w:tblPr>
        <w:tblW w:type="dxa" w:w="1008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10080"/>
      </w:tblGrid>
      <w:tr>
        <w:tc>
          <w:tcPr>
            <w:tcW w:type="dxa" w:w="10080"/>
            <w:shd w:fill="FFF4DE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683"/>
                <w:sz w:val="14"/>
                <w:szCs w:val="14"/>
              </w:rPr>
              <w:t xml:space="preserve">Note: fields shown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4"/>
                <w:szCs w:val="14"/>
              </w:rPr>
              <w:t xml:space="preserve">[amber brackets]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683"/>
                <w:sz w:val="14"/>
                <w:szCs w:val="14"/>
              </w:rPr>
              <w:t xml:space="preserve"> are to be completed before issuing to the Client. Commercial terms (fees &amp; payment schedule) are covered in a separate proposal.</w:t>
            </w:r>
          </w:p>
        </w:tc>
      </w:tr>
    </w:tbl>
    <w:p>
      <w:pPr>
        <w:pBdr>
          <w:bottom w:val="single" w:color="2F6FB2" w:sz="8" w:space="3"/>
        </w:pBdr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9"/>
          <w:szCs w:val="19"/>
        </w:rPr>
        <w:t xml:space="preserve">1.  Purpose</w:t>
      </w:r>
    </w:p>
    <w:p>
      <w:pPr>
        <w:spacing w:after="70" w:line="24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This Statement of Work (SOW) sets out the scope, deliverables and terms for the design and development of a custom Enterprise Resource Planning (ERP) system for the White &amp; Bright Group, as defined in the approved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B2B2B"/>
          <w:sz w:val="17"/>
          <w:szCs w:val="17"/>
        </w:rPr>
        <w:t xml:space="preserve">Business Requirements Document (BRD v1.1)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 and Functional Specification Document (FSD). The engagement is delivered as a phased pilot. Fees and payment schedule are set out in a separate commercial proposal.</w:t>
      </w:r>
    </w:p>
    <w:p>
      <w:pPr>
        <w:pBdr>
          <w:bottom w:val="single" w:color="2F6FB2" w:sz="8" w:space="3"/>
        </w:pBdr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9"/>
          <w:szCs w:val="19"/>
        </w:rPr>
        <w:t xml:space="preserve">2.  Scope of Work</w:t>
      </w:r>
    </w:p>
    <w:p>
      <w:pPr>
        <w:spacing w:after="50" w:line="24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The Developer will design, build, test and deliver the ERP across four phases, per the BRD v1.1 baseline:</w:t>
      </w:r>
    </w:p>
    <w:tbl>
      <w:tblPr>
        <w:tblW w:type="dxa" w:w="1008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450"/>
        <w:gridCol w:w="5630"/>
        <w:gridCol w:w="2000"/>
      </w:tblGrid>
      <w:tr>
        <w:trPr>
          <w:tblHeader/>
        </w:trPr>
        <w:tc>
          <w:tcPr>
            <w:tcW w:type="dxa" w:w="2450"/>
            <w:shd w:fill="1F3B57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630"/>
            <w:shd w:fill="1F3B57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2000"/>
            <w:shd w:fill="1F3B57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Indicative duration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Phase 1 — Foundation</w:t>
            </w:r>
          </w:p>
        </w:tc>
        <w:tc>
          <w:tcPr>
            <w:tcW w:type="dxa" w:w="5630"/>
            <w:shd w:fill="FFFFFF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Multi-company setup, Finance core, HR &amp; Payroll master data, access/RBAC, approvals &amp; alerts</w:t>
            </w:r>
          </w:p>
        </w:tc>
        <w:tc>
          <w:tcPr>
            <w:tcW w:type="dxa" w:w="2000"/>
            <w:shd w:fill="FFFFFF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~3–4 months</w:t>
            </w:r>
          </w:p>
        </w:tc>
      </w:tr>
      <w:tr>
        <w:tc>
          <w:tcPr>
            <w:tcW w:type="dxa" w:w="2450"/>
            <w:shd w:fill="F4F8FC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Phase 2 — Commercial &amp; Supply</w:t>
            </w:r>
          </w:p>
        </w:tc>
        <w:tc>
          <w:tcPr>
            <w:tcW w:type="dxa" w:w="5630"/>
            <w:shd w:fill="F4F8FC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CRM &amp; Estimation, Inventory &amp; SCM, customer &amp; vendor portals</w:t>
            </w:r>
          </w:p>
        </w:tc>
        <w:tc>
          <w:tcPr>
            <w:tcW w:type="dxa" w:w="2000"/>
            <w:shd w:fill="F4F8FC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~3–4 months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Phase 3 — Delivery &amp; Safety</w:t>
            </w:r>
          </w:p>
        </w:tc>
        <w:tc>
          <w:tcPr>
            <w:tcW w:type="dxa" w:w="5630"/>
            <w:shd w:fill="FFFFFF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Projects, HSE, attendance &amp; project timesheets, mobile app (PWA)</w:t>
            </w:r>
          </w:p>
        </w:tc>
        <w:tc>
          <w:tcPr>
            <w:tcW w:type="dxa" w:w="2000"/>
            <w:shd w:fill="FFFFFF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~3 months</w:t>
            </w:r>
          </w:p>
        </w:tc>
      </w:tr>
      <w:tr>
        <w:tc>
          <w:tcPr>
            <w:tcW w:type="dxa" w:w="2450"/>
            <w:shd w:fill="F4F8FC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Phase 4 — Insight &amp; AI</w:t>
            </w:r>
          </w:p>
        </w:tc>
        <w:tc>
          <w:tcPr>
            <w:tcW w:type="dxa" w:w="5630"/>
            <w:shd w:fill="F4F8FC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Executive dashboards, analytics and AI features</w:t>
            </w:r>
          </w:p>
        </w:tc>
        <w:tc>
          <w:tcPr>
            <w:tcW w:type="dxa" w:w="2000"/>
            <w:shd w:fill="F4F8FC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~2 months</w:t>
            </w:r>
          </w:p>
        </w:tc>
      </w:tr>
    </w:tbl>
    <w:p>
      <w:pPr>
        <w:spacing w:before="5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683"/>
          <w:sz w:val="16"/>
          <w:szCs w:val="16"/>
        </w:rPr>
        <w:t xml:space="preserve">Each phase is delivered as a working, usable release, followed by Client acceptance before the next phase begins.</w:t>
      </w:r>
    </w:p>
    <w:p>
      <w:pPr>
        <w:pBdr>
          <w:bottom w:val="single" w:color="2F6FB2" w:sz="8" w:space="3"/>
        </w:pBdr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9"/>
          <w:szCs w:val="19"/>
        </w:rPr>
        <w:t xml:space="preserve">3.  Deliverables (per phase)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Working, tested ERP modules for the phase, deployed to the agreed environment.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Configuration of workflows, approvals, roles and multi-company setup.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Migration of the agreed master data for the phase.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User Acceptance Testing (UAT) support and defect fixes.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Basic user guidance / handover notes for the delivered features.</w:t>
      </w:r>
    </w:p>
    <w:p>
      <w:pPr>
        <w:pBdr>
          <w:bottom w:val="single" w:color="2F6FB2" w:sz="8" w:space="3"/>
        </w:pBdr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9"/>
          <w:szCs w:val="19"/>
        </w:rPr>
        <w:t xml:space="preserve">4.  Out of Scope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Detailed engineering / CAD drawing production (drawings are stored, not created).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Hardware, network, biometric devices and third-party service subscriptions (email/SMS/WhatsApp/AI usage, hosting).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Statutory payroll filing outside the Client’s current operating countries.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Any requirement not stated in BRD v1.1 / FSD (handled as a Change Request, Section 6).</w:t>
      </w:r>
    </w:p>
    <w:p>
      <w:pPr>
        <w:pBdr>
          <w:bottom w:val="single" w:color="2F6FB2" w:sz="8" w:space="3"/>
        </w:pBdr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9"/>
          <w:szCs w:val="19"/>
        </w:rPr>
        <w:t xml:space="preserve">5.  Intellectual Property &amp; Licence</w:t>
      </w:r>
    </w:p>
    <w:p>
      <w:pPr>
        <w:spacing w:after="70" w:line="24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The Developer retains ownership of the underlying platform, framework and reusable components, and the right to reuse them in other projects.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B2B2B"/>
          <w:sz w:val="17"/>
          <w:szCs w:val="17"/>
        </w:rPr>
        <w:t xml:space="preserve">The Client receives a perpetual, non-exclusive licence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 to use the delivered ERP for the White &amp; Bright Group. Exclusive ownership, if required, is available under separate agreement.</w:t>
      </w:r>
    </w:p>
    <w:p>
      <w:pPr>
        <w:pBdr>
          <w:bottom w:val="single" w:color="2F6FB2" w:sz="8" w:space="3"/>
        </w:pBdr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9"/>
          <w:szCs w:val="19"/>
        </w:rPr>
        <w:t xml:space="preserve">6.  Change Requests</w:t>
      </w:r>
    </w:p>
    <w:p>
      <w:pPr>
        <w:spacing w:after="70" w:line="24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Any work outside the BRD v1.1 / FSD baseline will be documented and agreed in writing as a Change Request before work begins. This protects the agreed scope and timeline for both parties.</w:t>
      </w:r>
    </w:p>
    <w:p>
      <w:pPr>
        <w:pBdr>
          <w:bottom w:val="single" w:color="2F6FB2" w:sz="8" w:space="3"/>
        </w:pBdr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9"/>
          <w:szCs w:val="19"/>
        </w:rPr>
        <w:t xml:space="preserve">7.  Hosting &amp; Running Services</w:t>
      </w:r>
    </w:p>
    <w:p>
      <w:pPr>
        <w:spacing w:after="70" w:line="24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Cloud hosting and any third-party running services (email/SMS/WhatsApp gateways and AI usage) are arranged in the Client’s name and borne by the Client. The Developer will advise on setup and configuration.</w:t>
      </w:r>
    </w:p>
    <w:p>
      <w:pPr>
        <w:pBdr>
          <w:bottom w:val="single" w:color="2F6FB2" w:sz="8" w:space="3"/>
        </w:pBdr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9"/>
          <w:szCs w:val="19"/>
        </w:rPr>
        <w:t xml:space="preserve">8.  Client Responsibilities &amp; Assumptions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Timely business decisions and sign-offs at each phase gate.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Provision of master data (items, vendors, employees, open projects) for migration.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Service accounts and credentials (hosting, email/SMS/WhatsApp, AI) held by the Client.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User Acceptance Testing (UAT) and written acceptance of each phase.</w:t>
      </w:r>
    </w:p>
    <w:p>
      <w:pPr>
        <w:pStyle w:val="ListParagraph"/>
        <w:numPr>
          <w:ilvl w:val="0"/>
          <w:numId w:val="1"/>
        </w:numPr>
        <w:spacing w:after="34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Country-specific tax/statutory rules for payroll and finance configuration.</w:t>
      </w:r>
    </w:p>
    <w:p>
      <w:pPr>
        <w:pBdr>
          <w:bottom w:val="single" w:color="2F6FB2" w:sz="8" w:space="3"/>
        </w:pBdr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9"/>
          <w:szCs w:val="19"/>
        </w:rPr>
        <w:t xml:space="preserve">9.  Reference &amp; Case Study</w:t>
      </w:r>
    </w:p>
    <w:p>
      <w:pPr>
        <w:spacing w:after="70" w:line="24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As the first / pilot engagement, the Client agrees to act as a reference and to permit the Developer to reference this engagement (name, logo and a brief case study) in marketing, subject to the Client’s reasonable review.</w:t>
      </w:r>
    </w:p>
    <w:p>
      <w:pPr>
        <w:pBdr>
          <w:bottom w:val="single" w:color="2F6FB2" w:sz="8" w:space="3"/>
        </w:pBdr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9"/>
          <w:szCs w:val="19"/>
        </w:rPr>
        <w:t xml:space="preserve">10.  Warranty &amp; Support</w:t>
      </w:r>
    </w:p>
    <w:p>
      <w:pPr>
        <w:spacing w:after="70" w:line="24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Each phase carries a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6A00"/>
          <w:sz w:val="18"/>
          <w:szCs w:val="18"/>
        </w:rPr>
        <w:t xml:space="preserve">[30]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-day defect-fix warranty after acceptance. Ongoing support and enhancements are available under an optional Annual Maintenance Contract (AMC) under separate agreement.</w:t>
      </w:r>
    </w:p>
    <w:p>
      <w:pPr>
        <w:pBdr>
          <w:bottom w:val="single" w:color="2F6FB2" w:sz="8" w:space="3"/>
        </w:pBdr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9"/>
          <w:szCs w:val="19"/>
        </w:rPr>
        <w:t xml:space="preserve">11.  Acceptance</w:t>
      </w:r>
    </w:p>
    <w:p>
      <w:pPr>
        <w:spacing w:after="80" w:line="24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Signing below confirms agreement to this Statement of Work.</w:t>
      </w:r>
    </w:p>
    <w:tbl>
      <w:tblPr>
        <w:tblW w:type="dxa" w:w="1008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1700"/>
        <w:gridCol w:w="4190"/>
        <w:gridCol w:w="4190"/>
      </w:tblGrid>
      <w:tr>
        <w:trPr>
          <w:tblHeader/>
        </w:trPr>
        <w:tc>
          <w:tcPr>
            <w:tcW w:type="dxa" w:w="1700"/>
            <w:shd w:fill="1F3B57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190"/>
            <w:shd w:fill="1F3B57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For the Developer</w:t>
            </w:r>
          </w:p>
        </w:tc>
        <w:tc>
          <w:tcPr>
            <w:tcW w:type="dxa" w:w="4190"/>
            <w:shd w:fill="1F3B57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For the Client (White &amp; Bright Group)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Name</w:t>
            </w:r>
          </w:p>
        </w:tc>
        <w:tc>
          <w:tcPr>
            <w:tcW w:type="dxa" w:w="4190"/>
            <w:shd w:fill="FFFFFF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[Name]</w:t>
            </w:r>
          </w:p>
        </w:tc>
        <w:tc>
          <w:tcPr>
            <w:tcW w:type="dxa" w:w="4190"/>
            <w:shd w:fill="FFFFFF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W w:type="dxa" w:w="1700"/>
            <w:shd w:fill="F4F8FC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Designation</w:t>
            </w:r>
          </w:p>
        </w:tc>
        <w:tc>
          <w:tcPr>
            <w:tcW w:type="dxa" w:w="4190"/>
            <w:shd w:fill="F4F8FC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[Designation]</w:t>
            </w:r>
          </w:p>
        </w:tc>
        <w:tc>
          <w:tcPr>
            <w:tcW w:type="dxa" w:w="4190"/>
            <w:shd w:fill="F4F8FC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[Designation]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Signature</w:t>
            </w:r>
          </w:p>
        </w:tc>
        <w:tc>
          <w:tcPr>
            <w:tcW w:type="dxa" w:w="4190"/>
            <w:shd w:fill="FFFFFF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/>
            </w:r>
          </w:p>
        </w:tc>
        <w:tc>
          <w:tcPr>
            <w:tcW w:type="dxa" w:w="4190"/>
            <w:shd w:fill="FFFFFF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shd w:fill="F4F8FC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Date</w:t>
            </w:r>
          </w:p>
        </w:tc>
        <w:tc>
          <w:tcPr>
            <w:tcW w:type="dxa" w:w="4190"/>
            <w:shd w:fill="F4F8FC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/>
            </w:r>
          </w:p>
        </w:tc>
        <w:tc>
          <w:tcPr>
            <w:tcW w:type="dxa" w:w="4190"/>
            <w:shd w:fill="F4F8FC" w:color="auto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/>
            </w:r>
          </w:p>
        </w:tc>
      </w:tr>
    </w:tbl>
    <w:p>
      <w:pPr>
        <w:spacing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683"/>
          <w:sz w:val="13"/>
          <w:szCs w:val="13"/>
        </w:rPr>
        <w:t xml:space="preserve">Confidential — Prepared for the White &amp; Bright Group</w:t>
      </w:r>
    </w:p>
    <w:sectPr>
      <w:pgSz w:w="12240" w:h="15840" w:orient="portrait"/>
      <w:pgMar w:top="900" w:right="1080" w:bottom="8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&amp; Bright Group ERP — Pilot Statement of Work</dc:title>
  <dc:creator>White &amp; Bright — Business Analysis</dc:creator>
  <cp:lastModifiedBy>Un-named</cp:lastModifiedBy>
  <cp:revision>1</cp:revision>
  <dcterms:created xsi:type="dcterms:W3CDTF">2026-08-30T10:09:04.292Z</dcterms:created>
  <dcterms:modified xsi:type="dcterms:W3CDTF">2026-08-30T10:09:04.293Z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