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TECHNICAL PROPOSAL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CE7F2"/>
                <w:sz w:val="19"/>
                <w:szCs w:val="19"/>
              </w:rPr>
              <w:t xml:space="preserve">White &amp; Bright Group — Enterprise Resource Planning (ERP) System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Prepared for: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White &amp; Bright Group of Companies   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27 August 2026   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683"/>
          <w:sz w:val="15"/>
          <w:szCs w:val="15"/>
        </w:rPr>
        <w:t xml:space="preserve">Version: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683"/>
          <w:sz w:val="15"/>
          <w:szCs w:val="15"/>
        </w:rPr>
        <w:t xml:space="preserve">1.0</w:t>
      </w:r>
    </w:p>
    <w:p>
      <w:pPr>
        <w:pBdr>
          <w:bottom w:val="single" w:color="2F6FB2" w:sz="8" w:space="3"/>
        </w:pBd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20"/>
          <w:szCs w:val="20"/>
        </w:rPr>
        <w:t xml:space="preserve">1.  Our Approach</w:t>
      </w:r>
    </w:p>
    <w:p>
      <w:pPr>
        <w:spacing w:after="60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We propose a purpose-built, cloud-based ERP designed specifically for the White &amp; Bright group. Rather than forcing your operations into off-the-shelf software, the system is tailored to your exact workflows — across all group companies — and remains fully owned by you.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7"/>
          <w:szCs w:val="17"/>
        </w:rPr>
        <w:t xml:space="preserve">Custom-built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 to your exact processes — no licence fees, no vendor lock-in.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7"/>
          <w:szCs w:val="17"/>
        </w:rPr>
        <w:t xml:space="preserve">One platform for the whole group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 — multi-company login, shared resources between companies, and consolidated accounts.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7"/>
          <w:szCs w:val="17"/>
        </w:rPr>
        <w:t xml:space="preserve">Web + mobile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 — works in the office and on site, on desktop and phone.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7"/>
          <w:szCs w:val="17"/>
        </w:rPr>
        <w:t xml:space="preserve">AI-ready and scalable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7"/>
          <w:szCs w:val="17"/>
        </w:rPr>
        <w:t xml:space="preserve"> — grows with the business and supports intelligent features.</w:t>
      </w:r>
    </w:p>
    <w:p>
      <w:pPr>
        <w:pBdr>
          <w:bottom w:val="single" w:color="2F6FB2" w:sz="8" w:space="3"/>
        </w:pBd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20"/>
          <w:szCs w:val="20"/>
        </w:rPr>
        <w:t xml:space="preserve">2.  Technology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683"/>
          <w:sz w:val="16"/>
          <w:szCs w:val="16"/>
        </w:rPr>
        <w:t xml:space="preserve">Built on proven, modern, industry-standard technology chosen for reliability, security and long-term support.</w:t>
      </w:r>
    </w:p>
    <w:tbl>
      <w:tblPr>
        <w:tblW w:type="dxa" w:w="1008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350"/>
        <w:gridCol w:w="5730"/>
        <w:gridCol w:w="2000"/>
      </w:tblGrid>
      <w:tr>
        <w:trPr>
          <w:tblHeader/>
        </w:trPr>
        <w:tc>
          <w:tcPr>
            <w:tcW w:type="dxa" w:w="235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573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provides</w:t>
            </w:r>
          </w:p>
        </w:tc>
        <w:tc>
          <w:tcPr>
            <w:tcW w:type="dxa" w:w="200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Technology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Web &amp; Mobile App</w:t>
            </w:r>
          </w:p>
        </w:tc>
        <w:tc>
          <w:tcPr>
            <w:tcW w:type="dxa" w:w="573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Responsive web app + installable mobile app; works on desktop and phone</w:t>
            </w:r>
          </w:p>
        </w:tc>
        <w:tc>
          <w:tcPr>
            <w:tcW w:type="dxa" w:w="200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Next.js / React</w:t>
            </w:r>
          </w:p>
        </w:tc>
      </w:tr>
      <w:tr>
        <w:tc>
          <w:tcPr>
            <w:tcW w:type="dxa" w:w="23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Application Engine</w:t>
            </w:r>
          </w:p>
        </w:tc>
        <w:tc>
          <w:tcPr>
            <w:tcW w:type="dxa" w:w="573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Secure server logic with role-based access &amp; multi-company control</w:t>
            </w:r>
          </w:p>
        </w:tc>
        <w:tc>
          <w:tcPr>
            <w:tcW w:type="dxa" w:w="200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TypeScript / Node.js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Database</w:t>
            </w:r>
          </w:p>
        </w:tc>
        <w:tc>
          <w:tcPr>
            <w:tcW w:type="dxa" w:w="573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Reliable, transaction-safe store for accounts, stock &amp; projects</w:t>
            </w:r>
          </w:p>
        </w:tc>
        <w:tc>
          <w:tcPr>
            <w:tcW w:type="dxa" w:w="200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PostgreSQL</w:t>
            </w:r>
          </w:p>
        </w:tc>
      </w:tr>
      <w:tr>
        <w:tc>
          <w:tcPr>
            <w:tcW w:type="dxa" w:w="23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Documents &amp; Files</w:t>
            </w:r>
          </w:p>
        </w:tc>
        <w:tc>
          <w:tcPr>
            <w:tcW w:type="dxa" w:w="573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Secure storage for drawings, certificates, POs &amp; reports</w:t>
            </w:r>
          </w:p>
        </w:tc>
        <w:tc>
          <w:tcPr>
            <w:tcW w:type="dxa" w:w="200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Cloud object storage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Notifications</w:t>
            </w:r>
          </w:p>
        </w:tc>
        <w:tc>
          <w:tcPr>
            <w:tcW w:type="dxa" w:w="573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Email, SMS and WhatsApp alerts for approvals &amp; expiries</w:t>
            </w:r>
          </w:p>
        </w:tc>
        <w:tc>
          <w:tcPr>
            <w:tcW w:type="dxa" w:w="200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Email / SMS / WhatsApp</w:t>
            </w:r>
          </w:p>
        </w:tc>
      </w:tr>
      <w:tr>
        <w:tc>
          <w:tcPr>
            <w:tcW w:type="dxa" w:w="23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Intelligence (AI)</w:t>
            </w:r>
          </w:p>
        </w:tc>
        <w:tc>
          <w:tcPr>
            <w:tcW w:type="dxa" w:w="573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Assistant, document reading and estimation support</w:t>
            </w:r>
          </w:p>
        </w:tc>
        <w:tc>
          <w:tcPr>
            <w:tcW w:type="dxa" w:w="200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Claude AI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Hosting &amp; Security</w:t>
            </w:r>
          </w:p>
        </w:tc>
        <w:tc>
          <w:tcPr>
            <w:tcW w:type="dxa" w:w="573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Encrypted cloud hosting, automated backups, full audit trail</w:t>
            </w:r>
          </w:p>
        </w:tc>
        <w:tc>
          <w:tcPr>
            <w:tcW w:type="dxa" w:w="200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Cloud + Docker</w:t>
            </w:r>
          </w:p>
        </w:tc>
      </w:tr>
    </w:tbl>
    <w:p>
      <w:pPr>
        <w:pBdr>
          <w:bottom w:val="single" w:color="2F6FB2" w:sz="8" w:space="3"/>
        </w:pBd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20"/>
          <w:szCs w:val="20"/>
        </w:rPr>
        <w:t xml:space="preserve">3.  Delivery Phases &amp; Timeline</w:t>
      </w:r>
    </w:p>
    <w:tbl>
      <w:tblPr>
        <w:tblW w:type="dxa" w:w="1008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150"/>
        <w:gridCol w:w="4680"/>
        <w:gridCol w:w="1150"/>
        <w:gridCol w:w="2100"/>
      </w:tblGrid>
      <w:tr>
        <w:trPr>
          <w:tblHeader/>
        </w:trPr>
        <w:tc>
          <w:tcPr>
            <w:tcW w:type="dxa" w:w="215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468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15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10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B57"/>
                <w:sz w:val="15"/>
                <w:szCs w:val="15"/>
              </w:rPr>
              <w:t xml:space="preserve">1  Foundation</w:t>
            </w:r>
          </w:p>
        </w:tc>
        <w:tc>
          <w:tcPr>
            <w:tcW w:type="dxa" w:w="468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Multi-company setup, Finance, HR &amp; Payroll master data, security &amp; alerts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~3–4 mo</w:t>
            </w:r>
          </w:p>
        </w:tc>
        <w:tc>
          <w:tcPr>
            <w:tcW w:type="dxa" w:w="210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Group &amp; financial control from day one</w:t>
            </w:r>
          </w:p>
        </w:tc>
      </w:tr>
      <w:tr>
        <w:tc>
          <w:tcPr>
            <w:tcW w:type="dxa" w:w="21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F6FB2"/>
                <w:sz w:val="15"/>
                <w:szCs w:val="15"/>
              </w:rPr>
              <w:t xml:space="preserve">2  Commercial &amp; Supply</w:t>
            </w:r>
          </w:p>
        </w:tc>
        <w:tc>
          <w:tcPr>
            <w:tcW w:type="dxa" w:w="468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CRM &amp; Estimation, Inventory &amp; SCM, customer &amp; vendor portals</w:t>
            </w:r>
          </w:p>
        </w:tc>
        <w:tc>
          <w:tcPr>
            <w:tcW w:type="dxa" w:w="11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~3–4 mo</w:t>
            </w:r>
          </w:p>
        </w:tc>
        <w:tc>
          <w:tcPr>
            <w:tcW w:type="dxa" w:w="210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Faster quotations, purchasing &amp; stock control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8C8C"/>
                <w:sz w:val="15"/>
                <w:szCs w:val="15"/>
              </w:rPr>
              <w:t xml:space="preserve">3  Delivery &amp; Safety</w:t>
            </w:r>
          </w:p>
        </w:tc>
        <w:tc>
          <w:tcPr>
            <w:tcW w:type="dxa" w:w="468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Projects, HSE, attendance &amp; project timesheets, mobile app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~3 mo</w:t>
            </w:r>
          </w:p>
        </w:tc>
        <w:tc>
          <w:tcPr>
            <w:tcW w:type="dxa" w:w="210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Connected delivery; safety &amp; compliance digitised</w:t>
            </w:r>
          </w:p>
        </w:tc>
      </w:tr>
      <w:tr>
        <w:tc>
          <w:tcPr>
            <w:tcW w:type="dxa" w:w="21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5AA6"/>
                <w:sz w:val="15"/>
                <w:szCs w:val="15"/>
              </w:rPr>
              <w:t xml:space="preserve">4  Insight &amp; AI</w:t>
            </w:r>
          </w:p>
        </w:tc>
        <w:tc>
          <w:tcPr>
            <w:tcW w:type="dxa" w:w="468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Executive dashboards, analytics, AI features</w:t>
            </w:r>
          </w:p>
        </w:tc>
        <w:tc>
          <w:tcPr>
            <w:tcW w:type="dxa" w:w="115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~2 mo</w:t>
            </w:r>
          </w:p>
        </w:tc>
        <w:tc>
          <w:tcPr>
            <w:tcW w:type="dxa" w:w="210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Real-time, board-level visibility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6"/>
          <w:szCs w:val="16"/>
        </w:rPr>
        <w:t xml:space="preserve">Indicative overall timeline: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delivered in phases, with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8C8C"/>
          <w:sz w:val="16"/>
          <w:szCs w:val="16"/>
        </w:rPr>
        <w:t xml:space="preserve">first working release in ~2–3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. Each phase is usable on its own, so value is delivered early and risk stays low. Durations are indicative and confirmed during detailed planning.</w:t>
      </w:r>
    </w:p>
    <w:p>
      <w:pPr>
        <w:pBdr>
          <w:bottom w:val="single" w:color="2F6FB2" w:sz="8" w:space="3"/>
        </w:pBd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20"/>
          <w:szCs w:val="20"/>
        </w:rPr>
        <w:t xml:space="preserve">4.  Why This Approach</w:t>
      </w:r>
    </w:p>
    <w:tbl>
      <w:tblPr>
        <w:tblW w:type="dxa" w:w="1008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shd w:fill="1F3B57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B57"/>
                <w:sz w:val="15"/>
                <w:szCs w:val="15"/>
              </w:rPr>
              <w:t xml:space="preserve">You own it</w:t>
            </w:r>
          </w:p>
        </w:tc>
        <w:tc>
          <w:tcPr>
            <w:tcW w:type="dxa" w:w="336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B57"/>
                <w:sz w:val="15"/>
                <w:szCs w:val="15"/>
              </w:rPr>
              <w:t xml:space="preserve">Fits your business</w:t>
            </w:r>
          </w:p>
        </w:tc>
        <w:tc>
          <w:tcPr>
            <w:tcW w:type="dxa" w:w="3360"/>
            <w:shd w:fill="FFFFFF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B57"/>
                <w:sz w:val="15"/>
                <w:szCs w:val="15"/>
              </w:rPr>
              <w:t xml:space="preserve">Future-ready</w:t>
            </w:r>
          </w:p>
        </w:tc>
      </w:tr>
      <w:tr>
        <w:tc>
          <w:tcPr>
            <w:tcW w:type="dxa" w:w="336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Full ownership of the system and data — no per-user licence fees.</w:t>
            </w:r>
          </w:p>
        </w:tc>
        <w:tc>
          <w:tcPr>
            <w:tcW w:type="dxa" w:w="336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Tailored to your fabrication, erection &amp; maintenance workflows.</w:t>
            </w:r>
          </w:p>
        </w:tc>
        <w:tc>
          <w:tcPr>
            <w:tcW w:type="dxa" w:w="3360"/>
            <w:shd w:fill="F4F8FC" w:color="auto" w:val="clear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Cloud, mobile and AI-ready; scales as the group grows.</w:t>
            </w:r>
          </w:p>
        </w:tc>
      </w:tr>
    </w:tbl>
    <w:p>
      <w:pPr>
        <w:pBdr>
          <w:top w:val="single" w:color="C9D6E5" w:sz="6" w:space="4"/>
        </w:pBdr>
        <w:spacing w:after="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B57"/>
          <w:sz w:val="16"/>
          <w:szCs w:val="16"/>
        </w:rPr>
        <w:t xml:space="preserve">Next step: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6"/>
          <w:szCs w:val="16"/>
        </w:rPr>
        <w:t xml:space="preserve">On approval of this proposal and the BRD, we proceed to detailed design and begin Phase 1.</w:t>
      </w:r>
    </w:p>
    <w:p>
      <w:pPr>
        <w:spacing w:before="3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683"/>
          <w:sz w:val="13"/>
          <w:szCs w:val="13"/>
        </w:rPr>
        <w:t xml:space="preserve">Confidential — Prepared for the White &amp; Bright Group</w:t>
      </w:r>
    </w:p>
    <w:sectPr>
      <w:pgSz w:w="12240" w:h="15840" w:orient="portrait"/>
      <w:pgMar w:top="900" w:right="1080" w:bottom="8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&amp; Bright Group ERP — Technical Proposal</dc:title>
  <dc:creator>White &amp; Bright — Business Analysis</dc:creator>
  <cp:lastModifiedBy>Un-named</cp:lastModifiedBy>
  <cp:revision>1</cp:revision>
  <dcterms:created xsi:type="dcterms:W3CDTF">2026-08-27T08:02:25.112Z</dcterms:created>
  <dcterms:modified xsi:type="dcterms:W3CDTF">2026-08-27T08:02:25.113Z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