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MedKG-Signal:</w:t>
      </w:r>
      <w:r>
        <w:t xml:space="preserve"> </w:t>
      </w:r>
      <w:r>
        <w:t xml:space="preserve">Knowledge</w:t>
      </w:r>
      <w:r>
        <w:t xml:space="preserve"> </w:t>
      </w:r>
      <w:r>
        <w:t xml:space="preserve">Graph-Augmented</w:t>
      </w:r>
      <w:r>
        <w:t xml:space="preserve"> </w:t>
      </w:r>
      <w:r>
        <w:t xml:space="preserve">Multimodal</w:t>
      </w:r>
      <w:r>
        <w:t xml:space="preserve"> </w:t>
      </w:r>
      <w:r>
        <w:t xml:space="preserve">Medical</w:t>
      </w:r>
      <w:r>
        <w:t xml:space="preserve"> </w:t>
      </w:r>
      <w:r>
        <w:t xml:space="preserve">AI</w:t>
      </w:r>
      <w:r>
        <w:t xml:space="preserve"> </w:t>
      </w:r>
      <w:r>
        <w:t xml:space="preserve">for</w:t>
      </w:r>
      <w:r>
        <w:t xml:space="preserve"> </w:t>
      </w:r>
      <w:r>
        <w:t xml:space="preserve">Interpretable</w:t>
      </w:r>
      <w:r>
        <w:t xml:space="preserve"> </w:t>
      </w:r>
      <w:r>
        <w:t xml:space="preserve">Clinical</w:t>
      </w:r>
      <w:r>
        <w:t xml:space="preserve"> </w:t>
      </w:r>
      <w:r>
        <w:t xml:space="preserve">Risk</w:t>
      </w:r>
      <w:r>
        <w:t xml:space="preserve"> </w:t>
      </w:r>
      <w:r>
        <w:t xml:space="preserve">Prediction</w:t>
      </w:r>
    </w:p>
    <w:p>
      <w:pPr>
        <w:pStyle w:val="AbstractTitle"/>
      </w:pPr>
      <w:r>
        <w:t xml:space="preserve">Abstract</w:t>
      </w:r>
    </w:p>
    <w:p>
      <w:pPr>
        <w:pStyle w:val="Abstract"/>
      </w:pPr>
      <w:r>
        <w:t xml:space="preserve">Clinical</w:t>
      </w:r>
      <w:r>
        <w:t xml:space="preserve"> </w:t>
      </w:r>
      <w:r>
        <w:t xml:space="preserve">AI</w:t>
      </w:r>
      <w:r>
        <w:t xml:space="preserve"> </w:t>
      </w:r>
      <w:r>
        <w:t xml:space="preserve">systems</w:t>
      </w:r>
      <w:r>
        <w:t xml:space="preserve"> </w:t>
      </w:r>
      <w:r>
        <w:t xml:space="preserve">often</w:t>
      </w:r>
      <w:r>
        <w:t xml:space="preserve"> </w:t>
      </w:r>
      <w:r>
        <w:t xml:space="preserve">perform</w:t>
      </w:r>
      <w:r>
        <w:t xml:space="preserve"> </w:t>
      </w:r>
      <w:r>
        <w:t xml:space="preserve">well</w:t>
      </w:r>
      <w:r>
        <w:t xml:space="preserve"> </w:t>
      </w:r>
      <w:r>
        <w:t xml:space="preserve">on</w:t>
      </w:r>
      <w:r>
        <w:t xml:space="preserve"> </w:t>
      </w:r>
      <w:r>
        <w:t xml:space="preserve">isolated</w:t>
      </w:r>
      <w:r>
        <w:t xml:space="preserve"> </w:t>
      </w:r>
      <w:r>
        <w:t xml:space="preserve">prediction</w:t>
      </w:r>
      <w:r>
        <w:t xml:space="preserve"> </w:t>
      </w:r>
      <w:r>
        <w:t xml:space="preserve">tasks</w:t>
      </w:r>
      <w:r>
        <w:t xml:space="preserve"> </w:t>
      </w:r>
      <w:r>
        <w:t xml:space="preserve">but</w:t>
      </w:r>
      <w:r>
        <w:t xml:space="preserve"> </w:t>
      </w:r>
      <w:r>
        <w:t xml:space="preserve">remain</w:t>
      </w:r>
      <w:r>
        <w:t xml:space="preserve"> </w:t>
      </w:r>
      <w:r>
        <w:t xml:space="preserve">difficult</w:t>
      </w:r>
      <w:r>
        <w:t xml:space="preserve"> </w:t>
      </w:r>
      <w:r>
        <w:t xml:space="preserve">to</w:t>
      </w:r>
      <w:r>
        <w:t xml:space="preserve"> </w:t>
      </w:r>
      <w:r>
        <w:t xml:space="preserve">trust</w:t>
      </w:r>
      <w:r>
        <w:t xml:space="preserve"> </w:t>
      </w:r>
      <w:r>
        <w:t xml:space="preserve">in</w:t>
      </w:r>
      <w:r>
        <w:t xml:space="preserve"> </w:t>
      </w:r>
      <w:r>
        <w:t xml:space="preserve">real</w:t>
      </w:r>
      <w:r>
        <w:t xml:space="preserve"> </w:t>
      </w:r>
      <w:r>
        <w:t xml:space="preserve">hospital</w:t>
      </w:r>
      <w:r>
        <w:t xml:space="preserve"> </w:t>
      </w:r>
      <w:r>
        <w:t xml:space="preserve">workflows</w:t>
      </w:r>
      <w:r>
        <w:t xml:space="preserve"> </w:t>
      </w:r>
      <w:r>
        <w:t xml:space="preserve">because</w:t>
      </w:r>
      <w:r>
        <w:t xml:space="preserve"> </w:t>
      </w:r>
      <w:r>
        <w:t xml:space="preserve">they</w:t>
      </w:r>
      <w:r>
        <w:t xml:space="preserve"> </w:t>
      </w:r>
      <w:r>
        <w:t xml:space="preserve">lack</w:t>
      </w:r>
      <w:r>
        <w:t xml:space="preserve"> </w:t>
      </w:r>
      <w:r>
        <w:t xml:space="preserve">explicit</w:t>
      </w:r>
      <w:r>
        <w:t xml:space="preserve"> </w:t>
      </w:r>
      <w:r>
        <w:t xml:space="preserve">clinical</w:t>
      </w:r>
      <w:r>
        <w:t xml:space="preserve"> </w:t>
      </w:r>
      <w:r>
        <w:t xml:space="preserve">context</w:t>
      </w:r>
      <w:r>
        <w:t xml:space="preserve"> </w:t>
      </w:r>
      <w:r>
        <w:t xml:space="preserve">and</w:t>
      </w:r>
      <w:r>
        <w:t xml:space="preserve"> </w:t>
      </w:r>
      <w:r>
        <w:t xml:space="preserve">evidence</w:t>
      </w:r>
      <w:r>
        <w:t xml:space="preserve"> </w:t>
      </w:r>
      <w:r>
        <w:t xml:space="preserve">traceability.</w:t>
      </w:r>
      <w:r>
        <w:t xml:space="preserve"> </w:t>
      </w:r>
      <w:r>
        <w:t xml:space="preserve">This</w:t>
      </w:r>
      <w:r>
        <w:t xml:space="preserve"> </w:t>
      </w:r>
      <w:r>
        <w:t xml:space="preserve">paper</w:t>
      </w:r>
      <w:r>
        <w:t xml:space="preserve"> </w:t>
      </w:r>
      <w:r>
        <w:t xml:space="preserve">presents</w:t>
      </w:r>
      <w:r>
        <w:t xml:space="preserve"> </w:t>
      </w:r>
      <w:r>
        <w:t xml:space="preserve">MedKG-Signal,</w:t>
      </w:r>
      <w:r>
        <w:t xml:space="preserve"> </w:t>
      </w:r>
      <w:r>
        <w:t xml:space="preserve">a</w:t>
      </w:r>
      <w:r>
        <w:t xml:space="preserve"> </w:t>
      </w:r>
      <w:r>
        <w:t xml:space="preserve">multimodal</w:t>
      </w:r>
      <w:r>
        <w:t xml:space="preserve"> </w:t>
      </w:r>
      <w:r>
        <w:t xml:space="preserve">medical</w:t>
      </w:r>
      <w:r>
        <w:t xml:space="preserve"> </w:t>
      </w:r>
      <w:r>
        <w:t xml:space="preserve">AI</w:t>
      </w:r>
      <w:r>
        <w:t xml:space="preserve"> </w:t>
      </w:r>
      <w:r>
        <w:t xml:space="preserve">framework</w:t>
      </w:r>
      <w:r>
        <w:t xml:space="preserve"> </w:t>
      </w:r>
      <w:r>
        <w:t xml:space="preserve">that</w:t>
      </w:r>
      <w:r>
        <w:t xml:space="preserve"> </w:t>
      </w:r>
      <w:r>
        <w:t xml:space="preserve">combines</w:t>
      </w:r>
      <w:r>
        <w:t xml:space="preserve"> </w:t>
      </w:r>
      <w:r>
        <w:t xml:space="preserve">physiological</w:t>
      </w:r>
      <w:r>
        <w:t xml:space="preserve"> </w:t>
      </w:r>
      <w:r>
        <w:t xml:space="preserve">signal</w:t>
      </w:r>
      <w:r>
        <w:t xml:space="preserve"> </w:t>
      </w:r>
      <w:r>
        <w:t xml:space="preserve">representations,</w:t>
      </w:r>
      <w:r>
        <w:t xml:space="preserve"> </w:t>
      </w:r>
      <w:r>
        <w:t xml:space="preserve">clinical</w:t>
      </w:r>
      <w:r>
        <w:t xml:space="preserve"> </w:t>
      </w:r>
      <w:r>
        <w:t xml:space="preserve">text</w:t>
      </w:r>
      <w:r>
        <w:t xml:space="preserve"> </w:t>
      </w:r>
      <w:r>
        <w:t xml:space="preserve">embeddings,</w:t>
      </w:r>
      <w:r>
        <w:t xml:space="preserve"> </w:t>
      </w:r>
      <w:r>
        <w:t xml:space="preserve">and</w:t>
      </w:r>
      <w:r>
        <w:t xml:space="preserve"> </w:t>
      </w:r>
      <w:r>
        <w:t xml:space="preserve">a</w:t>
      </w:r>
      <w:r>
        <w:t xml:space="preserve"> </w:t>
      </w:r>
      <w:r>
        <w:t xml:space="preserve">heterogeneous</w:t>
      </w:r>
      <w:r>
        <w:t xml:space="preserve"> </w:t>
      </w:r>
      <w:r>
        <w:t xml:space="preserve">knowledge</w:t>
      </w:r>
      <w:r>
        <w:t xml:space="preserve"> </w:t>
      </w:r>
      <w:r>
        <w:t xml:space="preserve">graph</w:t>
      </w:r>
      <w:r>
        <w:t xml:space="preserve"> </w:t>
      </w:r>
      <w:r>
        <w:t xml:space="preserve">for</w:t>
      </w:r>
      <w:r>
        <w:t xml:space="preserve"> </w:t>
      </w:r>
      <w:r>
        <w:t xml:space="preserve">interpretable</w:t>
      </w:r>
      <w:r>
        <w:t xml:space="preserve"> </w:t>
      </w:r>
      <w:r>
        <w:t xml:space="preserve">risk</w:t>
      </w:r>
      <w:r>
        <w:t xml:space="preserve"> </w:t>
      </w:r>
      <w:r>
        <w:t xml:space="preserve">prediction.</w:t>
      </w:r>
      <w:r>
        <w:t xml:space="preserve"> </w:t>
      </w:r>
      <w:r>
        <w:t xml:space="preserve">The</w:t>
      </w:r>
      <w:r>
        <w:t xml:space="preserve"> </w:t>
      </w:r>
      <w:r>
        <w:t xml:space="preserve">graph</w:t>
      </w:r>
      <w:r>
        <w:t xml:space="preserve"> </w:t>
      </w:r>
      <w:r>
        <w:t xml:space="preserve">connects</w:t>
      </w:r>
      <w:r>
        <w:t xml:space="preserve"> </w:t>
      </w:r>
      <w:r>
        <w:t xml:space="preserve">patient</w:t>
      </w:r>
      <w:r>
        <w:t xml:space="preserve"> </w:t>
      </w:r>
      <w:r>
        <w:t xml:space="preserve">encounters,</w:t>
      </w:r>
      <w:r>
        <w:t xml:space="preserve"> </w:t>
      </w:r>
      <w:r>
        <w:t xml:space="preserve">diagnoses,</w:t>
      </w:r>
      <w:r>
        <w:t xml:space="preserve"> </w:t>
      </w:r>
      <w:r>
        <w:t xml:space="preserve">symptoms,</w:t>
      </w:r>
      <w:r>
        <w:t xml:space="preserve"> </w:t>
      </w:r>
      <w:r>
        <w:t xml:space="preserve">medications,</w:t>
      </w:r>
      <w:r>
        <w:t xml:space="preserve"> </w:t>
      </w:r>
      <w:r>
        <w:t xml:space="preserve">laboratory</w:t>
      </w:r>
      <w:r>
        <w:t xml:space="preserve"> </w:t>
      </w:r>
      <w:r>
        <w:t xml:space="preserve">findings,</w:t>
      </w:r>
      <w:r>
        <w:t xml:space="preserve"> </w:t>
      </w:r>
      <w:r>
        <w:t xml:space="preserve">and</w:t>
      </w:r>
      <w:r>
        <w:t xml:space="preserve"> </w:t>
      </w:r>
      <w:r>
        <w:t xml:space="preserve">signal-derived</w:t>
      </w:r>
      <w:r>
        <w:t xml:space="preserve"> </w:t>
      </w:r>
      <w:r>
        <w:t xml:space="preserve">phenotypes</w:t>
      </w:r>
      <w:r>
        <w:t xml:space="preserve"> </w:t>
      </w:r>
      <w:r>
        <w:t xml:space="preserve">through</w:t>
      </w:r>
      <w:r>
        <w:t xml:space="preserve"> </w:t>
      </w:r>
      <w:r>
        <w:t xml:space="preserve">ontology-aligned</w:t>
      </w:r>
      <w:r>
        <w:t xml:space="preserve"> </w:t>
      </w:r>
      <w:r>
        <w:t xml:space="preserve">relations</w:t>
      </w:r>
      <w:r>
        <w:t xml:space="preserve"> </w:t>
      </w:r>
      <w:r>
        <w:t xml:space="preserve">and</w:t>
      </w:r>
      <w:r>
        <w:t xml:space="preserve"> </w:t>
      </w:r>
      <w:r>
        <w:t xml:space="preserve">provenance-aware</w:t>
      </w:r>
      <w:r>
        <w:t xml:space="preserve"> </w:t>
      </w:r>
      <w:r>
        <w:t xml:space="preserve">evidence</w:t>
      </w:r>
      <w:r>
        <w:t xml:space="preserve"> </w:t>
      </w:r>
      <w:r>
        <w:t xml:space="preserve">links.</w:t>
      </w:r>
      <w:r>
        <w:t xml:space="preserve"> </w:t>
      </w:r>
      <w:r>
        <w:t xml:space="preserve">A</w:t>
      </w:r>
      <w:r>
        <w:t xml:space="preserve"> </w:t>
      </w:r>
      <w:r>
        <w:t xml:space="preserve">relation-aware</w:t>
      </w:r>
      <w:r>
        <w:t xml:space="preserve"> </w:t>
      </w:r>
      <w:r>
        <w:t xml:space="preserve">graph</w:t>
      </w:r>
      <w:r>
        <w:t xml:space="preserve"> </w:t>
      </w:r>
      <w:r>
        <w:t xml:space="preserve">encoder</w:t>
      </w:r>
      <w:r>
        <w:t xml:space="preserve"> </w:t>
      </w:r>
      <w:r>
        <w:t xml:space="preserve">is</w:t>
      </w:r>
      <w:r>
        <w:t xml:space="preserve"> </w:t>
      </w:r>
      <w:r>
        <w:t xml:space="preserve">trained</w:t>
      </w:r>
      <w:r>
        <w:t xml:space="preserve"> </w:t>
      </w:r>
      <w:r>
        <w:t xml:space="preserve">jointly</w:t>
      </w:r>
      <w:r>
        <w:t xml:space="preserve"> </w:t>
      </w:r>
      <w:r>
        <w:t xml:space="preserve">with</w:t>
      </w:r>
      <w:r>
        <w:t xml:space="preserve"> </w:t>
      </w:r>
      <w:r>
        <w:t xml:space="preserve">signal</w:t>
      </w:r>
      <w:r>
        <w:t xml:space="preserve"> </w:t>
      </w:r>
      <w:r>
        <w:t xml:space="preserve">and</w:t>
      </w:r>
      <w:r>
        <w:t xml:space="preserve"> </w:t>
      </w:r>
      <w:r>
        <w:t xml:space="preserve">text</w:t>
      </w:r>
      <w:r>
        <w:t xml:space="preserve"> </w:t>
      </w:r>
      <w:r>
        <w:t xml:space="preserve">encoders</w:t>
      </w:r>
      <w:r>
        <w:t xml:space="preserve"> </w:t>
      </w:r>
      <w:r>
        <w:t xml:space="preserve">to</w:t>
      </w:r>
      <w:r>
        <w:t xml:space="preserve"> </w:t>
      </w:r>
      <w:r>
        <w:t xml:space="preserve">learn</w:t>
      </w:r>
      <w:r>
        <w:t xml:space="preserve"> </w:t>
      </w:r>
      <w:r>
        <w:t xml:space="preserve">patient-level</w:t>
      </w:r>
      <w:r>
        <w:t xml:space="preserve"> </w:t>
      </w:r>
      <w:r>
        <w:t xml:space="preserve">representations</w:t>
      </w:r>
      <w:r>
        <w:t xml:space="preserve"> </w:t>
      </w:r>
      <w:r>
        <w:t xml:space="preserve">for</w:t>
      </w:r>
      <w:r>
        <w:t xml:space="preserve"> </w:t>
      </w:r>
      <w:r>
        <w:t xml:space="preserve">downstream</w:t>
      </w:r>
      <w:r>
        <w:t xml:space="preserve"> </w:t>
      </w:r>
      <w:r>
        <w:t xml:space="preserve">tasks</w:t>
      </w:r>
      <w:r>
        <w:t xml:space="preserve"> </w:t>
      </w:r>
      <w:r>
        <w:t xml:space="preserve">such</w:t>
      </w:r>
      <w:r>
        <w:t xml:space="preserve"> </w:t>
      </w:r>
      <w:r>
        <w:t xml:space="preserve">as</w:t>
      </w:r>
      <w:r>
        <w:t xml:space="preserve"> </w:t>
      </w:r>
      <w:r>
        <w:t xml:space="preserve">in-hospital</w:t>
      </w:r>
      <w:r>
        <w:t xml:space="preserve"> </w:t>
      </w:r>
      <w:r>
        <w:t xml:space="preserve">mortality</w:t>
      </w:r>
      <w:r>
        <w:t xml:space="preserve"> </w:t>
      </w:r>
      <w:r>
        <w:t xml:space="preserve">prediction</w:t>
      </w:r>
      <w:r>
        <w:t xml:space="preserve"> </w:t>
      </w:r>
      <w:r>
        <w:t xml:space="preserve">and</w:t>
      </w:r>
      <w:r>
        <w:t xml:space="preserve"> </w:t>
      </w:r>
      <w:r>
        <w:t xml:space="preserve">diagnosis</w:t>
      </w:r>
      <w:r>
        <w:t xml:space="preserve"> </w:t>
      </w:r>
      <w:r>
        <w:t xml:space="preserve">classification.</w:t>
      </w:r>
      <w:r>
        <w:t xml:space="preserve"> </w:t>
      </w:r>
      <w:r>
        <w:t xml:space="preserve">To</w:t>
      </w:r>
      <w:r>
        <w:t xml:space="preserve"> </w:t>
      </w:r>
      <w:r>
        <w:t xml:space="preserve">improve</w:t>
      </w:r>
      <w:r>
        <w:t xml:space="preserve"> </w:t>
      </w:r>
      <w:r>
        <w:t xml:space="preserve">trustworthiness,</w:t>
      </w:r>
      <w:r>
        <w:t xml:space="preserve"> </w:t>
      </w:r>
      <w:r>
        <w:t xml:space="preserve">we</w:t>
      </w:r>
      <w:r>
        <w:t xml:space="preserve"> </w:t>
      </w:r>
      <w:r>
        <w:t xml:space="preserve">add</w:t>
      </w:r>
      <w:r>
        <w:t xml:space="preserve"> </w:t>
      </w:r>
      <w:r>
        <w:t xml:space="preserve">a</w:t>
      </w:r>
      <w:r>
        <w:t xml:space="preserve"> </w:t>
      </w:r>
      <w:r>
        <w:t xml:space="preserve">graph-grounded</w:t>
      </w:r>
      <w:r>
        <w:t xml:space="preserve"> </w:t>
      </w:r>
      <w:r>
        <w:t xml:space="preserve">explanation</w:t>
      </w:r>
      <w:r>
        <w:t xml:space="preserve"> </w:t>
      </w:r>
      <w:r>
        <w:t xml:space="preserve">module</w:t>
      </w:r>
      <w:r>
        <w:t xml:space="preserve"> </w:t>
      </w:r>
      <w:r>
        <w:t xml:space="preserve">that</w:t>
      </w:r>
      <w:r>
        <w:t xml:space="preserve"> </w:t>
      </w:r>
      <w:r>
        <w:t xml:space="preserve">retrieves</w:t>
      </w:r>
      <w:r>
        <w:t xml:space="preserve"> </w:t>
      </w:r>
      <w:r>
        <w:t xml:space="preserve">valid</w:t>
      </w:r>
      <w:r>
        <w:t xml:space="preserve"> </w:t>
      </w:r>
      <w:r>
        <w:t xml:space="preserve">clinical</w:t>
      </w:r>
      <w:r>
        <w:t xml:space="preserve"> </w:t>
      </w:r>
      <w:r>
        <w:t xml:space="preserve">paths</w:t>
      </w:r>
      <w:r>
        <w:t xml:space="preserve"> </w:t>
      </w:r>
      <w:r>
        <w:t xml:space="preserve">and</w:t>
      </w:r>
      <w:r>
        <w:t xml:space="preserve"> </w:t>
      </w:r>
      <w:r>
        <w:t xml:space="preserve">generates</w:t>
      </w:r>
      <w:r>
        <w:t xml:space="preserve"> </w:t>
      </w:r>
      <w:r>
        <w:t xml:space="preserve">evidence-backed</w:t>
      </w:r>
      <w:r>
        <w:t xml:space="preserve"> </w:t>
      </w:r>
      <w:r>
        <w:t xml:space="preserve">rationales</w:t>
      </w:r>
      <w:r>
        <w:t xml:space="preserve"> </w:t>
      </w:r>
      <w:r>
        <w:t xml:space="preserve">while</w:t>
      </w:r>
      <w:r>
        <w:t xml:space="preserve"> </w:t>
      </w:r>
      <w:r>
        <w:t xml:space="preserve">filtering</w:t>
      </w:r>
      <w:r>
        <w:t xml:space="preserve"> </w:t>
      </w:r>
      <w:r>
        <w:t xml:space="preserve">unsupported</w:t>
      </w:r>
      <w:r>
        <w:t xml:space="preserve"> </w:t>
      </w:r>
      <w:r>
        <w:t xml:space="preserve">claims.</w:t>
      </w:r>
      <w:r>
        <w:t xml:space="preserve"> </w:t>
      </w:r>
      <w:r>
        <w:t xml:space="preserve">The</w:t>
      </w:r>
      <w:r>
        <w:t xml:space="preserve"> </w:t>
      </w:r>
      <w:r>
        <w:t xml:space="preserve">proposed</w:t>
      </w:r>
      <w:r>
        <w:t xml:space="preserve"> </w:t>
      </w:r>
      <w:r>
        <w:t xml:space="preserve">design</w:t>
      </w:r>
      <w:r>
        <w:t xml:space="preserve"> </w:t>
      </w:r>
      <w:r>
        <w:t xml:space="preserve">is</w:t>
      </w:r>
      <w:r>
        <w:t xml:space="preserve"> </w:t>
      </w:r>
      <w:r>
        <w:t xml:space="preserve">intended</w:t>
      </w:r>
      <w:r>
        <w:t xml:space="preserve"> </w:t>
      </w:r>
      <w:r>
        <w:t xml:space="preserve">for</w:t>
      </w:r>
      <w:r>
        <w:t xml:space="preserve"> </w:t>
      </w:r>
      <w:r>
        <w:t xml:space="preserve">intensive-care</w:t>
      </w:r>
      <w:r>
        <w:t xml:space="preserve"> </w:t>
      </w:r>
      <w:r>
        <w:t xml:space="preserve">and</w:t>
      </w:r>
      <w:r>
        <w:t xml:space="preserve"> </w:t>
      </w:r>
      <w:r>
        <w:t xml:space="preserve">longitudinal</w:t>
      </w:r>
      <w:r>
        <w:t xml:space="preserve"> </w:t>
      </w:r>
      <w:r>
        <w:t xml:space="preserve">hospital</w:t>
      </w:r>
      <w:r>
        <w:t xml:space="preserve"> </w:t>
      </w:r>
      <w:r>
        <w:t xml:space="preserve">data</w:t>
      </w:r>
      <w:r>
        <w:t xml:space="preserve"> </w:t>
      </w:r>
      <w:r>
        <w:t xml:space="preserve">settings</w:t>
      </w:r>
      <w:r>
        <w:t xml:space="preserve"> </w:t>
      </w:r>
      <w:r>
        <w:t xml:space="preserve">where</w:t>
      </w:r>
      <w:r>
        <w:t xml:space="preserve"> </w:t>
      </w:r>
      <w:r>
        <w:t xml:space="preserve">multimodal</w:t>
      </w:r>
      <w:r>
        <w:t xml:space="preserve"> </w:t>
      </w:r>
      <w:r>
        <w:t xml:space="preserve">context</w:t>
      </w:r>
      <w:r>
        <w:t xml:space="preserve"> </w:t>
      </w:r>
      <w:r>
        <w:t xml:space="preserve">is</w:t>
      </w:r>
      <w:r>
        <w:t xml:space="preserve"> </w:t>
      </w:r>
      <w:r>
        <w:t xml:space="preserve">essential.</w:t>
      </w:r>
    </w:p>
    <w:p>
      <w:pPr>
        <w:pStyle w:val="FirstParagraph"/>
      </w:pPr>
      <w:r>
        <w:t xml:space="preserve">Medical AI, knowledge graph, multimodal learning, explainable AI, clinical decision support, physiological signal processing.</w:t>
      </w:r>
    </w:p>
    <w:bookmarkStart w:id="21" w:name="sec:introduction"/>
    <w:p>
      <w:pPr>
        <w:pStyle w:val="Heading1"/>
      </w:pPr>
      <w:r>
        <w:t xml:space="preserve">Introduction</w:t>
      </w:r>
    </w:p>
    <w:p>
      <w:pPr>
        <w:pStyle w:val="FirstParagraph"/>
      </w:pPr>
      <w:r>
        <w:t xml:space="preserve">Medical data is naturally multimodal: physiological waveforms capture temporal dynamics, clinical notes encode semantic context, and structured records summarize diagnoses, procedures, and medications. Models that use only one of these sources often miss the cross-modal relationships clinicians rely on during diagnosis and treatment planning. At the same time, purely generative medical AI systems can produce fluent but unsupported explanations when they are not grounded in clinical evidence.</w:t>
      </w:r>
    </w:p>
    <w:p>
      <w:pPr>
        <w:pStyle w:val="BodyText"/>
      </w:pPr>
      <w:r>
        <w:t xml:space="preserve">Knowledge graphs provide a structured way to represent medical concepts and their relations. Resources such as UMLS enable entity normalization, while relational graph neural networks can propagate evidence across clinically meaningful paths </w:t>
      </w:r>
      <w:r>
        <w:t xml:space="preserve">(Bodenreider 2004; Schlichtkrull et al. 2018)</w:t>
      </w:r>
      <w:r>
        <w:t xml:space="preserve">. However, many prior systems treat the graph as a static lookup layer rather than as a learnable reasoning substrate tied to waveform features and patient-level prediction.</w:t>
      </w:r>
    </w:p>
    <w:p>
      <w:pPr>
        <w:pStyle w:val="BodyText"/>
      </w:pPr>
      <w:r>
        <w:t xml:space="preserve">Public ICU cohorts such as MIMIC-IV have made it possible to benchmark these models at scale, but benchmark performance alone is not enough unless the model can explain why a patient is assigned a particular risk score </w:t>
      </w:r>
      <w:r>
        <w:t xml:space="preserve">(Johnson et al. 2023)</w:t>
      </w:r>
      <w:r>
        <w:t xml:space="preserve">.</w:t>
      </w:r>
    </w:p>
    <w:p>
      <w:pPr>
        <w:pStyle w:val="BodyText"/>
      </w:pPr>
      <w:r>
        <w:t xml:space="preserve">This paper proposes MedKG-Signal, a knowledge graph-augmented multimodal framework for medical risk prediction and explanation. The method fuses signal embeddings, note embeddings, and graph context into a single patient representation and constrains generated explanations to valid clinical paths. The resulting design is intended to improve both predictive performance and interpretability in safety-critical hospital settings.</w:t>
      </w:r>
    </w:p>
    <w:bookmarkStart w:id="20" w:name="main-contributions"/>
    <w:p>
      <w:pPr>
        <w:pStyle w:val="Heading2"/>
      </w:pPr>
      <w:r>
        <w:t xml:space="preserve">Main Contributions</w:t>
      </w:r>
    </w:p>
    <w:p>
      <w:pPr>
        <w:numPr>
          <w:ilvl w:val="0"/>
          <w:numId w:val="1001"/>
        </w:numPr>
      </w:pPr>
      <w:r>
        <w:t xml:space="preserve">We construct a heterogeneous medical knowledge graph that links patients, diagnoses, symptoms, medications, laboratory findings, and signal-derived phenotypes with provenance metadata.</w:t>
      </w:r>
    </w:p>
    <w:p>
      <w:pPr>
        <w:numPr>
          <w:ilvl w:val="0"/>
          <w:numId w:val="1001"/>
        </w:numPr>
      </w:pPr>
      <w:r>
        <w:t xml:space="preserve">We develop a relation-aware multimodal encoder that combines physiological signal features, clinical text, and graph neighborhood information for patient-level prediction.</w:t>
      </w:r>
    </w:p>
    <w:p>
      <w:pPr>
        <w:numPr>
          <w:ilvl w:val="0"/>
          <w:numId w:val="1001"/>
        </w:numPr>
      </w:pPr>
      <w:r>
        <w:t xml:space="preserve">We add a graph-grounded explanation module that retrieves evidence paths and suppresses unsupported claims, improving clinical traceability.</w:t>
      </w:r>
    </w:p>
    <w:bookmarkEnd w:id="20"/>
    <w:bookmarkEnd w:id="21"/>
    <w:bookmarkStart w:id="22" w:name="related-work"/>
    <w:p>
      <w:pPr>
        <w:pStyle w:val="Heading1"/>
      </w:pPr>
      <w:r>
        <w:t xml:space="preserve">Related Work</w:t>
      </w:r>
    </w:p>
    <w:p>
      <w:pPr>
        <w:pStyle w:val="FirstParagraph"/>
      </w:pPr>
      <w:r>
        <w:t xml:space="preserve">Medical AI research on structured prediction has expanded rapidly, but the main modeling choices still fall into three groups. First, unimodal signal models learn from ECG, PPG, EEG, or other bedside waveforms, yet they usually ignore the semantic structure found in notes and coded records. Second, multimodal clinical models fuse text and tabular data, but they often do so without explicit clinical prior knowledge. Third, knowledge-graph methods improve reasoning over medical concepts, though many are limited to code co-occurrence and do not tightly integrate waveform-derived features.</w:t>
      </w:r>
    </w:p>
    <w:p>
      <w:pPr>
        <w:pStyle w:val="BodyText"/>
      </w:pPr>
      <w:r>
        <w:t xml:space="preserve">Graph neural networks are a natural fit for healthcare because they can propagate information over typed relations such as diagnosis–medication or symptom–condition links </w:t>
      </w:r>
      <w:r>
        <w:t xml:space="preserve">(Kipf and Welling 2017; Schlichtkrull et al. 2018)</w:t>
      </w:r>
      <w:r>
        <w:t xml:space="preserve">. In parallel, retrieval-augmented generation has improved factual grounding in knowledge-intensive NLP tasks </w:t>
      </w:r>
      <w:r>
        <w:t xml:space="preserve">(Lewis et al. 2020)</w:t>
      </w:r>
      <w:r>
        <w:t xml:space="preserve">, including medicine, but generated explanations can still drift if retrieval is not constrained by ontology-consistent paths. MedKG-Signal combines these two ideas by using the graph both as a predictive substrate and as an explanation constraint layer.</w:t>
      </w:r>
    </w:p>
    <w:p>
      <w:pPr>
        <w:pStyle w:val="BodyText"/>
      </w:pPr>
      <w:r>
        <w:t xml:space="preserve">Compared with prior work, the key difference is that the proposed framework does not treat the graph as an external database. Instead, graph neighborhoods, waveform phenotypes, and evidence snippets are learned jointly so that the prediction head and the explanation head share the same clinical support structure.</w:t>
      </w:r>
    </w:p>
    <w:bookmarkEnd w:id="22"/>
    <w:bookmarkStart w:id="29" w:name="proposed-method-and-system-model"/>
    <w:p>
      <w:pPr>
        <w:pStyle w:val="Heading1"/>
      </w:pPr>
      <w:r>
        <w:t xml:space="preserve">Proposed Method and System Model</w:t>
      </w:r>
    </w:p>
    <w:bookmarkStart w:id="23" w:name="heterogeneous-medical-knowledge-graph"/>
    <w:p>
      <w:pPr>
        <w:pStyle w:val="Heading2"/>
      </w:pPr>
      <w:r>
        <w:t xml:space="preserve">Heterogeneous Medical Knowledge Graph</w:t>
      </w:r>
    </w:p>
    <w:p>
      <w:pPr>
        <w:pStyle w:val="FirstParagraph"/>
      </w:pPr>
      <w:r>
        <w:t xml:space="preserve">We define a heterogeneous graph</w:t>
      </w:r>
      <w:r>
        <w:t xml:space="preserve"> </w:t>
      </w:r>
      <m:oMath>
        <m:r>
          <m:t>G</m:t>
        </m:r>
        <m:r>
          <m:rPr>
            <m:sty m:val="p"/>
          </m:rPr>
          <m:t>=</m:t>
        </m:r>
        <m:d>
          <m:dPr>
            <m:begChr m:val="("/>
            <m:endChr m:val=")"/>
            <m:sepChr m:val=""/>
            <m:grow/>
          </m:dPr>
          <m:e>
            <m:r>
              <m:t>V</m:t>
            </m:r>
            <m:r>
              <m:rPr>
                <m:sty m:val="p"/>
              </m:rPr>
              <m:t>,</m:t>
            </m:r>
            <m:r>
              <m:t>E</m:t>
            </m:r>
            <m:r>
              <m:rPr>
                <m:sty m:val="p"/>
              </m:rPr>
              <m:t>,</m:t>
            </m:r>
            <m:r>
              <m:t>R</m:t>
            </m:r>
          </m:e>
        </m:d>
      </m:oMath>
      <w:r>
        <w:t xml:space="preserve"> </w:t>
      </w:r>
      <w:r>
        <w:t xml:space="preserve">with node set</w:t>
      </w:r>
      <w:r>
        <w:t xml:space="preserve"> </w:t>
      </w:r>
      <m:oMath>
        <m:r>
          <m:t>V</m:t>
        </m:r>
      </m:oMath>
      <w:r>
        <w:t xml:space="preserve">, edge set</w:t>
      </w:r>
      <w:r>
        <w:t xml:space="preserve"> </w:t>
      </w:r>
      <m:oMath>
        <m:r>
          <m:t>E</m:t>
        </m:r>
      </m:oMath>
      <w:r>
        <w:t xml:space="preserve">, and relation types</w:t>
      </w:r>
      <w:r>
        <w:t xml:space="preserve"> </w:t>
      </w:r>
      <m:oMath>
        <m:r>
          <m:t>R</m:t>
        </m:r>
      </m:oMath>
      <w:r>
        <w:t xml:space="preserve">. Nodes include patient encounters, diagnoses, symptoms, medications, laboratory markers, signal phenotypes, and evidence snippets. Edges encode clinical relations such as encounter-has-diagnosis, medication-treats-diagnosis, lab-supports-diagnosis, and signal-phenotype-indicates-condition. Each edge stores provenance, confidence, and timestamp metadata so that graph traversal remains auditable.</w:t>
      </w:r>
    </w:p>
    <w:p>
      <w:pPr>
        <w:pStyle w:val="BodyText"/>
      </w:pPr>
      <w:r>
        <w:t xml:space="preserve">Let</w:t>
      </w:r>
      <w:r>
        <w:t xml:space="preserve"> </w:t>
      </w:r>
      <m:oMath>
        <m:sSubSup>
          <m:e>
            <m:r>
              <m:t>x</m:t>
            </m:r>
          </m:e>
          <m:sub>
            <m:r>
              <m:t>p</m:t>
            </m:r>
          </m:sub>
          <m:sup>
            <m:r>
              <m:t>s</m:t>
            </m:r>
            <m:r>
              <m:t>i</m:t>
            </m:r>
            <m:r>
              <m:t>g</m:t>
            </m:r>
          </m:sup>
        </m:sSubSup>
      </m:oMath>
      <w:r>
        <w:t xml:space="preserve"> </w:t>
      </w:r>
      <w:r>
        <w:t xml:space="preserve">denote the signal stream for patient encounter</w:t>
      </w:r>
      <w:r>
        <w:t xml:space="preserve"> </w:t>
      </w:r>
      <m:oMath>
        <m:r>
          <m:t>p</m:t>
        </m:r>
      </m:oMath>
      <w:r>
        <w:t xml:space="preserve"> </w:t>
      </w:r>
      <w:r>
        <w:t xml:space="preserve">and let</w:t>
      </w:r>
      <w:r>
        <w:t xml:space="preserve"> </w:t>
      </w:r>
      <m:oMath>
        <m:sSubSup>
          <m:e>
            <m:r>
              <m:t>x</m:t>
            </m:r>
          </m:e>
          <m:sub>
            <m:r>
              <m:t>p</m:t>
            </m:r>
          </m:sub>
          <m:sup>
            <m:r>
              <m:t>t</m:t>
            </m:r>
            <m:r>
              <m:t>x</m:t>
            </m:r>
            <m:r>
              <m:t>t</m:t>
            </m:r>
          </m:sup>
        </m:sSubSup>
      </m:oMath>
      <w:r>
        <w:t xml:space="preserve"> </w:t>
      </w:r>
      <w:r>
        <w:t xml:space="preserve">denote the corresponding clinical note tokens. A signal encoder</w:t>
      </w:r>
      <w:r>
        <w:t xml:space="preserve"> </w:t>
      </w:r>
      <m:oMath>
        <m:sSub>
          <m:e>
            <m:r>
              <m:t>f</m:t>
            </m:r>
          </m:e>
          <m:sub>
            <m:r>
              <m:t>s</m:t>
            </m:r>
          </m:sub>
        </m:sSub>
        <m:d>
          <m:dPr>
            <m:begChr m:val="("/>
            <m:endChr m:val=")"/>
            <m:sepChr m:val=""/>
            <m:grow/>
          </m:dPr>
          <m:e>
            <m:r>
              <m:rPr>
                <m:sty m:val="p"/>
              </m:rPr>
              <m:t>⋅</m:t>
            </m:r>
          </m:e>
        </m:d>
      </m:oMath>
      <w:r>
        <w:t xml:space="preserve"> </w:t>
      </w:r>
      <w:r>
        <w:t xml:space="preserve">and a text encoder</w:t>
      </w:r>
      <w:r>
        <w:t xml:space="preserve"> </w:t>
      </w:r>
      <m:oMath>
        <m:sSub>
          <m:e>
            <m:r>
              <m:t>f</m:t>
            </m:r>
          </m:e>
          <m:sub>
            <m:r>
              <m:t>t</m:t>
            </m:r>
          </m:sub>
        </m:sSub>
        <m:d>
          <m:dPr>
            <m:begChr m:val="("/>
            <m:endChr m:val=")"/>
            <m:sepChr m:val=""/>
            <m:grow/>
          </m:dPr>
          <m:e>
            <m:r>
              <m:rPr>
                <m:sty m:val="p"/>
              </m:rPr>
              <m:t>⋅</m:t>
            </m:r>
          </m:e>
        </m:d>
      </m:oMath>
      <w:r>
        <w:t xml:space="preserve"> </w:t>
      </w:r>
      <w:r>
        <w:t xml:space="preserve">produce modality-specific embeddings:</w:t>
      </w:r>
    </w:p>
    <w:p>
      <w:pPr>
        <w:pStyle w:val="BodyText"/>
      </w:pPr>
      <m:oMathPara>
        <m:oMathParaPr>
          <m:jc m:val="center"/>
        </m:oMathParaPr>
        <m:oMath>
          <m:m>
            <m:mPr>
              <m:baseJc m:val="center"/>
              <m:plcHide m:val="on"/>
              <m:mcs>
                <m:mc>
                  <m:mcPr>
                    <m:mcJc m:val="right"/>
                    <m:count m:val="1"/>
                  </m:mcPr>
                </m:mc>
                <m:mc>
                  <m:mcPr>
                    <m:mcJc m:val="left"/>
                    <m:count m:val="1"/>
                  </m:mcPr>
                </m:mc>
              </m:mcs>
            </m:mPr>
            <m:mr>
              <m:e>
                <m:sSub>
                  <m:e>
                    <m:r>
                      <m:t>s</m:t>
                    </m:r>
                  </m:e>
                  <m:sub>
                    <m:r>
                      <m:t>p</m:t>
                    </m:r>
                  </m:sub>
                </m:sSub>
              </m:e>
              <m:e>
                <m:r>
                  <m:rPr>
                    <m:sty m:val="p"/>
                  </m:rPr>
                  <m:t>=</m:t>
                </m:r>
                <m:sSub>
                  <m:e>
                    <m:r>
                      <m:t>f</m:t>
                    </m:r>
                  </m:e>
                  <m:sub>
                    <m:r>
                      <m:t>s</m:t>
                    </m:r>
                  </m:sub>
                </m:sSub>
                <m:d>
                  <m:dPr>
                    <m:begChr m:val="("/>
                    <m:endChr m:val=")"/>
                    <m:sepChr m:val=""/>
                    <m:grow/>
                  </m:dPr>
                  <m:e>
                    <m:sSubSup>
                      <m:e>
                        <m:r>
                          <m:t>x</m:t>
                        </m:r>
                      </m:e>
                      <m:sub>
                        <m:r>
                          <m:t>p</m:t>
                        </m:r>
                      </m:sub>
                      <m:sup>
                        <m:r>
                          <m:t>s</m:t>
                        </m:r>
                        <m:r>
                          <m:t>i</m:t>
                        </m:r>
                        <m:r>
                          <m:t>g</m:t>
                        </m:r>
                      </m:sup>
                    </m:sSubSup>
                  </m:e>
                </m:d>
                <m:r>
                  <m:rPr>
                    <m:sty m:val="p"/>
                  </m:rPr>
                  <m:t>,</m:t>
                </m:r>
              </m:e>
            </m:mr>
            <m:mr>
              <m:e>
                <m:sSub>
                  <m:e>
                    <m:r>
                      <m:t>t</m:t>
                    </m:r>
                  </m:e>
                  <m:sub>
                    <m:r>
                      <m:t>p</m:t>
                    </m:r>
                  </m:sub>
                </m:sSub>
              </m:e>
              <m:e>
                <m:r>
                  <m:rPr>
                    <m:sty m:val="p"/>
                  </m:rPr>
                  <m:t>=</m:t>
                </m:r>
                <m:sSub>
                  <m:e>
                    <m:r>
                      <m:t>f</m:t>
                    </m:r>
                  </m:e>
                  <m:sub>
                    <m:r>
                      <m:t>t</m:t>
                    </m:r>
                  </m:sub>
                </m:sSub>
                <m:d>
                  <m:dPr>
                    <m:begChr m:val="("/>
                    <m:endChr m:val=")"/>
                    <m:sepChr m:val=""/>
                    <m:grow/>
                  </m:dPr>
                  <m:e>
                    <m:sSubSup>
                      <m:e>
                        <m:r>
                          <m:t>x</m:t>
                        </m:r>
                      </m:e>
                      <m:sub>
                        <m:r>
                          <m:t>p</m:t>
                        </m:r>
                      </m:sub>
                      <m:sup>
                        <m:r>
                          <m:t>t</m:t>
                        </m:r>
                        <m:r>
                          <m:t>x</m:t>
                        </m:r>
                        <m:r>
                          <m:t>t</m:t>
                        </m:r>
                      </m:sup>
                    </m:sSubSup>
                  </m:e>
                </m:d>
                <m:r>
                  <m:rPr>
                    <m:sty m:val="p"/>
                  </m:rPr>
                  <m:t>.</m:t>
                </m:r>
              </m:e>
            </m:mr>
          </m:m>
        </m:oMath>
      </m:oMathPara>
    </w:p>
    <w:p>
      <w:pPr>
        <w:pStyle w:val="FirstParagraph"/>
      </w:pPr>
      <w:r>
        <w:t xml:space="preserve">We then compute a base fused representation</w:t>
      </w:r>
    </w:p>
    <w:p>
      <w:pPr>
        <w:pStyle w:val="BodyText"/>
      </w:pPr>
      <m:oMathPara>
        <m:oMathParaPr>
          <m:jc m:val="center"/>
        </m:oMathParaPr>
        <m:oMath>
          <m:sSub>
            <m:e>
              <m:r>
                <m:t>z</m:t>
              </m:r>
            </m:e>
            <m:sub>
              <m:r>
                <m:t>p</m:t>
              </m:r>
            </m:sub>
          </m:sSub>
          <m:r>
            <m:rPr>
              <m:sty m:val="p"/>
            </m:rPr>
            <m:t>=</m:t>
          </m:r>
          <m:sSub>
            <m:e>
              <m:r>
                <m:t>W</m:t>
              </m:r>
            </m:e>
            <m:sub>
              <m:r>
                <m:t>s</m:t>
              </m:r>
            </m:sub>
          </m:sSub>
          <m:sSub>
            <m:e>
              <m:r>
                <m:t>s</m:t>
              </m:r>
            </m:e>
            <m:sub>
              <m:r>
                <m:t>p</m:t>
              </m:r>
            </m:sub>
          </m:sSub>
          <m:r>
            <m:rPr>
              <m:sty m:val="p"/>
            </m:rPr>
            <m:t>+</m:t>
          </m:r>
          <m:sSub>
            <m:e>
              <m:r>
                <m:t>W</m:t>
              </m:r>
            </m:e>
            <m:sub>
              <m:r>
                <m:t>t</m:t>
              </m:r>
            </m:sub>
          </m:sSub>
          <m:sSub>
            <m:e>
              <m:r>
                <m:t>t</m:t>
              </m:r>
            </m:e>
            <m:sub>
              <m:r>
                <m:t>p</m:t>
              </m:r>
            </m:sub>
          </m:sSub>
          <m:r>
            <m:rPr>
              <m:sty m:val="p"/>
            </m:rPr>
            <m:t>,</m:t>
          </m:r>
        </m:oMath>
      </m:oMathPara>
    </w:p>
    <w:p>
      <w:pPr>
        <w:pStyle w:val="FirstParagraph"/>
      </w:pPr>
      <w:r>
        <w:t xml:space="preserve">where</w:t>
      </w:r>
      <w:r>
        <w:t xml:space="preserve"> </w:t>
      </w:r>
      <m:oMath>
        <m:sSub>
          <m:e>
            <m:r>
              <m:t>W</m:t>
            </m:r>
          </m:e>
          <m:sub>
            <m:r>
              <m:t>s</m:t>
            </m:r>
          </m:sub>
        </m:sSub>
      </m:oMath>
      <w:r>
        <w:t xml:space="preserve"> </w:t>
      </w:r>
      <w:r>
        <w:t xml:space="preserve">and</w:t>
      </w:r>
      <w:r>
        <w:t xml:space="preserve"> </w:t>
      </w:r>
      <m:oMath>
        <m:sSub>
          <m:e>
            <m:r>
              <m:t>W</m:t>
            </m:r>
          </m:e>
          <m:sub>
            <m:r>
              <m:t>t</m:t>
            </m:r>
          </m:sub>
        </m:sSub>
      </m:oMath>
      <w:r>
        <w:t xml:space="preserve"> </w:t>
      </w:r>
      <w:r>
        <w:t xml:space="preserve">are learned projection matrices.</w:t>
      </w:r>
    </w:p>
    <w:bookmarkEnd w:id="23"/>
    <w:bookmarkStart w:id="24" w:name="relation-aware-graph-encoding"/>
    <w:p>
      <w:pPr>
        <w:pStyle w:val="Heading2"/>
      </w:pPr>
      <w:r>
        <w:t xml:space="preserve">Relation-Aware Graph Encoding</w:t>
      </w:r>
    </w:p>
    <w:p>
      <w:pPr>
        <w:pStyle w:val="FirstParagraph"/>
      </w:pPr>
      <w:r>
        <w:t xml:space="preserve">The graph encoder applies relation-specific message passing over the neighborhood of each node. For node</w:t>
      </w:r>
      <w:r>
        <w:t xml:space="preserve"> </w:t>
      </w:r>
      <m:oMath>
        <m:r>
          <m:t>i</m:t>
        </m:r>
      </m:oMath>
      <w:r>
        <w:t xml:space="preserve"> </w:t>
      </w:r>
      <w:r>
        <w:t xml:space="preserve">at layer</w:t>
      </w:r>
      <w:r>
        <w:t xml:space="preserve"> </w:t>
      </w:r>
      <m:oMath>
        <m:r>
          <m:t>l</m:t>
        </m:r>
      </m:oMath>
      <w:r>
        <w:t xml:space="preserve">, the update rule is</w:t>
      </w:r>
    </w:p>
    <w:p>
      <w:pPr>
        <w:pStyle w:val="BodyText"/>
      </w:pPr>
      <m:oMathPara>
        <m:oMathParaPr>
          <m:jc m:val="center"/>
        </m:oMathParaPr>
        <m:oMath>
          <m:sSubSup>
            <m:e>
              <m:r>
                <m:t>h</m:t>
              </m:r>
            </m:e>
            <m:sub>
              <m:r>
                <m:t>i</m:t>
              </m:r>
            </m:sub>
            <m:sup>
              <m:d>
                <m:dPr>
                  <m:begChr m:val="("/>
                  <m:endChr m:val=")"/>
                  <m:sepChr m:val=""/>
                  <m:grow/>
                </m:dPr>
                <m:e>
                  <m:r>
                    <m:t>l</m:t>
                  </m:r>
                  <m:r>
                    <m:rPr>
                      <m:sty m:val="p"/>
                    </m:rPr>
                    <m:t>+</m:t>
                  </m:r>
                  <m:r>
                    <m:t>1</m:t>
                  </m:r>
                </m:e>
              </m:d>
            </m:sup>
          </m:sSubSup>
          <m:r>
            <m:rPr>
              <m:sty m:val="p"/>
            </m:rPr>
            <m:t>=</m:t>
          </m:r>
          <m:r>
            <m:t>σ</m:t>
          </m:r>
          <m:d>
            <m:dPr>
              <m:begChr m:val="("/>
              <m:endChr m:val=")"/>
              <m:sepChr m:val=""/>
              <m:grow/>
            </m:dPr>
            <m:e>
              <m:sSubSup>
                <m:e>
                  <m:r>
                    <m:t>W</m:t>
                  </m:r>
                </m:e>
                <m:sub>
                  <m:r>
                    <m:t>0</m:t>
                  </m:r>
                </m:sub>
                <m:sup>
                  <m:d>
                    <m:dPr>
                      <m:begChr m:val="("/>
                      <m:endChr m:val=")"/>
                      <m:sepChr m:val=""/>
                      <m:grow/>
                    </m:dPr>
                    <m:e>
                      <m:r>
                        <m:t>l</m:t>
                      </m:r>
                    </m:e>
                  </m:d>
                </m:sup>
              </m:sSubSup>
              <m:sSubSup>
                <m:e>
                  <m:r>
                    <m:t>h</m:t>
                  </m:r>
                </m:e>
                <m:sub>
                  <m:r>
                    <m:t>i</m:t>
                  </m:r>
                </m:sub>
                <m:sup>
                  <m:d>
                    <m:dPr>
                      <m:begChr m:val="("/>
                      <m:endChr m:val=")"/>
                      <m:sepChr m:val=""/>
                      <m:grow/>
                    </m:dPr>
                    <m:e>
                      <m:r>
                        <m:t>l</m:t>
                      </m:r>
                    </m:e>
                  </m:d>
                </m:sup>
              </m:sSubSup>
              <m:r>
                <m:rPr>
                  <m:sty m:val="p"/>
                </m:rPr>
                <m:t>+</m:t>
              </m:r>
              <m:nary>
                <m:naryPr>
                  <m:chr m:val="∑"/>
                  <m:limLoc m:val="undOvr"/>
                  <m:subHide m:val="off"/>
                  <m:supHide m:val="on"/>
                </m:naryPr>
                <m:sub>
                  <m:r>
                    <m:t>r</m:t>
                  </m:r>
                  <m:r>
                    <m:rPr>
                      <m:sty m:val="p"/>
                    </m:rPr>
                    <m:t>∈</m:t>
                  </m:r>
                  <m:r>
                    <m:t>R</m:t>
                  </m:r>
                </m:sub>
                <m:sup>
                  <m:r>
                    <m:t>​</m:t>
                  </m:r>
                </m:sup>
                <m:e>
                  <m:f>
                    <m:fPr>
                      <m:type m:val="bar"/>
                    </m:fPr>
                    <m:num>
                      <m:r>
                        <m:t>1</m:t>
                      </m:r>
                    </m:num>
                    <m:den>
                      <m:d>
                        <m:dPr>
                          <m:begChr m:val="|"/>
                          <m:endChr m:val="|"/>
                          <m:sepChr m:val=""/>
                          <m:grow/>
                        </m:dPr>
                        <m:e>
                          <m:sSub>
                            <m:e>
                              <m:r>
                                <m:t>N</m:t>
                              </m:r>
                            </m:e>
                            <m:sub>
                              <m:r>
                                <m:t>r</m:t>
                              </m:r>
                            </m:sub>
                          </m:sSub>
                          <m:d>
                            <m:dPr>
                              <m:begChr m:val="("/>
                              <m:endChr m:val=")"/>
                              <m:sepChr m:val=""/>
                              <m:grow/>
                            </m:dPr>
                            <m:e>
                              <m:r>
                                <m:t>i</m:t>
                              </m:r>
                            </m:e>
                          </m:d>
                        </m:e>
                      </m:d>
                    </m:den>
                  </m:f>
                </m:e>
              </m:nary>
              <m:nary>
                <m:naryPr>
                  <m:chr m:val="∑"/>
                  <m:limLoc m:val="undOvr"/>
                  <m:subHide m:val="off"/>
                  <m:supHide m:val="on"/>
                </m:naryPr>
                <m:sub>
                  <m:r>
                    <m:t>j</m:t>
                  </m:r>
                  <m:r>
                    <m:rPr>
                      <m:sty m:val="p"/>
                    </m:rPr>
                    <m:t>∈</m:t>
                  </m:r>
                  <m:sSub>
                    <m:e>
                      <m:r>
                        <m:t>N</m:t>
                      </m:r>
                    </m:e>
                    <m:sub>
                      <m:r>
                        <m:t>r</m:t>
                      </m:r>
                    </m:sub>
                  </m:sSub>
                  <m:d>
                    <m:dPr>
                      <m:begChr m:val="("/>
                      <m:endChr m:val=")"/>
                      <m:sepChr m:val=""/>
                      <m:grow/>
                    </m:dPr>
                    <m:e>
                      <m:r>
                        <m:t>i</m:t>
                      </m:r>
                    </m:e>
                  </m:d>
                </m:sub>
                <m:sup>
                  <m:r>
                    <m:t>​</m:t>
                  </m:r>
                </m:sup>
                <m:e>
                  <m:sSubSup>
                    <m:e>
                      <m:r>
                        <m:t>W</m:t>
                      </m:r>
                    </m:e>
                    <m:sub>
                      <m:r>
                        <m:t>r</m:t>
                      </m:r>
                    </m:sub>
                    <m:sup>
                      <m:d>
                        <m:dPr>
                          <m:begChr m:val="("/>
                          <m:endChr m:val=")"/>
                          <m:sepChr m:val=""/>
                          <m:grow/>
                        </m:dPr>
                        <m:e>
                          <m:r>
                            <m:t>l</m:t>
                          </m:r>
                        </m:e>
                      </m:d>
                    </m:sup>
                  </m:sSubSup>
                </m:e>
              </m:nary>
              <m:sSubSup>
                <m:e>
                  <m:r>
                    <m:t>h</m:t>
                  </m:r>
                </m:e>
                <m:sub>
                  <m:r>
                    <m:t>j</m:t>
                  </m:r>
                </m:sub>
                <m:sup>
                  <m:d>
                    <m:dPr>
                      <m:begChr m:val="("/>
                      <m:endChr m:val=")"/>
                      <m:sepChr m:val=""/>
                      <m:grow/>
                    </m:dPr>
                    <m:e>
                      <m:r>
                        <m:t>l</m:t>
                      </m:r>
                    </m:e>
                  </m:d>
                </m:sup>
              </m:sSubSup>
            </m:e>
          </m:d>
          <m:r>
            <m:rPr>
              <m:sty m:val="p"/>
            </m:rPr>
            <m:t>,</m:t>
          </m:r>
        </m:oMath>
      </m:oMathPara>
    </w:p>
    <w:p>
      <w:pPr>
        <w:pStyle w:val="FirstParagraph"/>
      </w:pPr>
      <w:r>
        <w:t xml:space="preserve">where</w:t>
      </w:r>
      <w:r>
        <w:t xml:space="preserve"> </w:t>
      </w:r>
      <m:oMath>
        <m:sSub>
          <m:e>
            <m:r>
              <m:t>N</m:t>
            </m:r>
          </m:e>
          <m:sub>
            <m:r>
              <m:t>r</m:t>
            </m:r>
          </m:sub>
        </m:sSub>
        <m:d>
          <m:dPr>
            <m:begChr m:val="("/>
            <m:endChr m:val=")"/>
            <m:sepChr m:val=""/>
            <m:grow/>
          </m:dPr>
          <m:e>
            <m:r>
              <m:t>i</m:t>
            </m:r>
          </m:e>
        </m:d>
      </m:oMath>
      <w:r>
        <w:t xml:space="preserve"> </w:t>
      </w:r>
      <w:r>
        <w:t xml:space="preserve">denotes the neighbors of</w:t>
      </w:r>
      <w:r>
        <w:t xml:space="preserve"> </w:t>
      </w:r>
      <m:oMath>
        <m:r>
          <m:t>i</m:t>
        </m:r>
      </m:oMath>
      <w:r>
        <w:t xml:space="preserve"> </w:t>
      </w:r>
      <w:r>
        <w:t xml:space="preserve">under relation</w:t>
      </w:r>
      <w:r>
        <w:t xml:space="preserve"> </w:t>
      </w:r>
      <m:oMath>
        <m:r>
          <m:t>r</m:t>
        </m:r>
      </m:oMath>
      <w:r>
        <w:t xml:space="preserve">. The final encounter representation combines the fused modality embedding and the graph output:</w:t>
      </w:r>
    </w:p>
    <w:p>
      <w:pPr>
        <w:pStyle w:val="BodyText"/>
      </w:pPr>
      <m:oMathPara>
        <m:oMathParaPr>
          <m:jc m:val="center"/>
        </m:oMathParaPr>
        <m:oMath>
          <m:sSub>
            <m:e>
              <m:acc>
                <m:accPr>
                  <m:chr m:val="̂"/>
                </m:accPr>
                <m:e>
                  <m:r>
                    <m:t>h</m:t>
                  </m:r>
                </m:e>
              </m:acc>
            </m:e>
            <m:sub>
              <m:r>
                <m:t>p</m:t>
              </m:r>
            </m:sub>
          </m:sSub>
          <m:r>
            <m:rPr>
              <m:sty m:val="p"/>
            </m:rPr>
            <m:t>=</m:t>
          </m:r>
          <m:r>
            <m:t>λ</m:t>
          </m:r>
          <m:sSub>
            <m:e>
              <m:r>
                <m:t>z</m:t>
              </m:r>
            </m:e>
            <m:sub>
              <m:r>
                <m:t>p</m:t>
              </m:r>
            </m:sub>
          </m:sSub>
          <m:r>
            <m:rPr>
              <m:sty m:val="p"/>
            </m:rPr>
            <m:t>+</m:t>
          </m:r>
          <m:d>
            <m:dPr>
              <m:begChr m:val="("/>
              <m:endChr m:val=")"/>
              <m:sepChr m:val=""/>
              <m:grow/>
            </m:dPr>
            <m:e>
              <m:r>
                <m:t>1</m:t>
              </m:r>
              <m:r>
                <m:rPr>
                  <m:sty m:val="p"/>
                </m:rPr>
                <m:t>−</m:t>
              </m:r>
              <m:r>
                <m:t>λ</m:t>
              </m:r>
            </m:e>
          </m:d>
          <m:sSubSup>
            <m:e>
              <m:r>
                <m:t>h</m:t>
              </m:r>
            </m:e>
            <m:sub>
              <m:r>
                <m:t>p</m:t>
              </m:r>
            </m:sub>
            <m:sup>
              <m:d>
                <m:dPr>
                  <m:begChr m:val="("/>
                  <m:endChr m:val=")"/>
                  <m:sepChr m:val=""/>
                  <m:grow/>
                </m:dPr>
                <m:e>
                  <m:r>
                    <m:t>L</m:t>
                  </m:r>
                </m:e>
              </m:d>
            </m:sup>
          </m:sSubSup>
          <m:r>
            <m:rPr>
              <m:sty m:val="p"/>
            </m:rPr>
            <m:t>.</m:t>
          </m:r>
        </m:oMath>
      </m:oMathPara>
    </w:p>
    <w:bookmarkEnd w:id="24"/>
    <w:bookmarkStart w:id="25" w:name="training-objective"/>
    <w:p>
      <w:pPr>
        <w:pStyle w:val="Heading2"/>
      </w:pPr>
      <w:r>
        <w:t xml:space="preserve">Training Objective</w:t>
      </w:r>
    </w:p>
    <w:p>
      <w:pPr>
        <w:pStyle w:val="FirstParagraph"/>
      </w:pPr>
      <w:r>
        <w:t xml:space="preserve">The joint loss balances supervised prediction, graph consistency, and cross-modal alignment:</w:t>
      </w:r>
    </w:p>
    <w:p>
      <w:pPr>
        <w:pStyle w:val="BodyText"/>
      </w:pPr>
      <m:oMathPara>
        <m:oMathParaPr>
          <m:jc m:val="center"/>
        </m:oMathParaPr>
        <m:oMath>
          <m:r>
            <m:rPr>
              <m:sty m:val="p"/>
              <m:scr m:val="script"/>
            </m:rPr>
            <m:t>L</m:t>
          </m:r>
          <m:r>
            <m:rPr>
              <m:sty m:val="p"/>
            </m:rPr>
            <m:t>=</m:t>
          </m:r>
          <m:sSub>
            <m:e>
              <m:r>
                <m:rPr>
                  <m:sty m:val="p"/>
                  <m:scr m:val="script"/>
                </m:rPr>
                <m:t>L</m:t>
              </m:r>
            </m:e>
            <m:sub>
              <m:r>
                <m:t>p</m:t>
              </m:r>
              <m:r>
                <m:t>r</m:t>
              </m:r>
              <m:r>
                <m:t>e</m:t>
              </m:r>
              <m:r>
                <m:t>d</m:t>
              </m:r>
            </m:sub>
          </m:sSub>
          <m:r>
            <m:rPr>
              <m:sty m:val="p"/>
            </m:rPr>
            <m:t>+</m:t>
          </m:r>
          <m:r>
            <m:t>α</m:t>
          </m:r>
          <m:sSub>
            <m:e>
              <m:r>
                <m:rPr>
                  <m:sty m:val="p"/>
                  <m:scr m:val="script"/>
                </m:rPr>
                <m:t>L</m:t>
              </m:r>
            </m:e>
            <m:sub>
              <m:r>
                <m:t>l</m:t>
              </m:r>
              <m:r>
                <m:t>i</m:t>
              </m:r>
              <m:r>
                <m:t>n</m:t>
              </m:r>
              <m:r>
                <m:t>k</m:t>
              </m:r>
            </m:sub>
          </m:sSub>
          <m:r>
            <m:rPr>
              <m:sty m:val="p"/>
            </m:rPr>
            <m:t>+</m:t>
          </m:r>
          <m:r>
            <m:t>β</m:t>
          </m:r>
          <m:sSub>
            <m:e>
              <m:r>
                <m:rPr>
                  <m:sty m:val="p"/>
                  <m:scr m:val="script"/>
                </m:rPr>
                <m:t>L</m:t>
              </m:r>
            </m:e>
            <m:sub>
              <m:r>
                <m:t>c</m:t>
              </m:r>
              <m:r>
                <m:t>o</m:t>
              </m:r>
              <m:r>
                <m:t>n</m:t>
              </m:r>
              <m:r>
                <m:t>t</m:t>
              </m:r>
              <m:r>
                <m:t>r</m:t>
              </m:r>
              <m:r>
                <m:t>a</m:t>
              </m:r>
              <m:r>
                <m:t>s</m:t>
              </m:r>
              <m:r>
                <m:t>t</m:t>
              </m:r>
            </m:sub>
          </m:sSub>
          <m:r>
            <m:rPr>
              <m:sty m:val="p"/>
            </m:rPr>
            <m:t>.</m:t>
          </m:r>
        </m:oMath>
      </m:oMathPara>
    </w:p>
    <w:p>
      <w:pPr>
        <w:pStyle w:val="FirstParagraph"/>
      </w:pPr>
      <w:r>
        <w:t xml:space="preserve">The prediction loss</w:t>
      </w:r>
      <w:r>
        <w:t xml:space="preserve"> </w:t>
      </w:r>
      <m:oMath>
        <m:sSub>
          <m:e>
            <m:r>
              <m:rPr>
                <m:sty m:val="p"/>
                <m:scr m:val="script"/>
              </m:rPr>
              <m:t>L</m:t>
            </m:r>
          </m:e>
          <m:sub>
            <m:r>
              <m:t>p</m:t>
            </m:r>
            <m:r>
              <m:t>r</m:t>
            </m:r>
            <m:r>
              <m:t>e</m:t>
            </m:r>
            <m:r>
              <m:t>d</m:t>
            </m:r>
          </m:sub>
        </m:sSub>
      </m:oMath>
      <w:r>
        <w:t xml:space="preserve"> </w:t>
      </w:r>
      <w:r>
        <w:t xml:space="preserve">handles mortality or diagnosis classification,</w:t>
      </w:r>
      <w:r>
        <w:t xml:space="preserve"> </w:t>
      </w:r>
      <m:oMath>
        <m:sSub>
          <m:e>
            <m:r>
              <m:rPr>
                <m:sty m:val="p"/>
                <m:scr m:val="script"/>
              </m:rPr>
              <m:t>L</m:t>
            </m:r>
          </m:e>
          <m:sub>
            <m:r>
              <m:t>l</m:t>
            </m:r>
            <m:r>
              <m:t>i</m:t>
            </m:r>
            <m:r>
              <m:t>n</m:t>
            </m:r>
            <m:r>
              <m:t>k</m:t>
            </m:r>
          </m:sub>
        </m:sSub>
      </m:oMath>
      <w:r>
        <w:t xml:space="preserve"> </w:t>
      </w:r>
      <w:r>
        <w:t xml:space="preserve">encourages valid relation structure, and</w:t>
      </w:r>
      <w:r>
        <w:t xml:space="preserve"> </w:t>
      </w:r>
      <m:oMath>
        <m:sSub>
          <m:e>
            <m:r>
              <m:rPr>
                <m:sty m:val="p"/>
                <m:scr m:val="script"/>
              </m:rPr>
              <m:t>L</m:t>
            </m:r>
          </m:e>
          <m:sub>
            <m:r>
              <m:t>c</m:t>
            </m:r>
            <m:r>
              <m:t>o</m:t>
            </m:r>
            <m:r>
              <m:t>n</m:t>
            </m:r>
            <m:r>
              <m:t>t</m:t>
            </m:r>
            <m:r>
              <m:t>r</m:t>
            </m:r>
            <m:r>
              <m:t>a</m:t>
            </m:r>
            <m:r>
              <m:t>s</m:t>
            </m:r>
            <m:r>
              <m:t>t</m:t>
            </m:r>
          </m:sub>
        </m:sSub>
      </m:oMath>
      <w:r>
        <w:t xml:space="preserve"> </w:t>
      </w:r>
      <w:r>
        <w:t xml:space="preserve">aligns signal, text, and graph neighborhoods.</w:t>
      </w:r>
    </w:p>
    <w:bookmarkEnd w:id="25"/>
    <w:bookmarkStart w:id="26" w:name="graph-grounded-explanation"/>
    <w:p>
      <w:pPr>
        <w:pStyle w:val="Heading2"/>
      </w:pPr>
      <w:r>
        <w:t xml:space="preserve">Graph-Grounded Explanation</w:t>
      </w:r>
    </w:p>
    <w:p>
      <w:pPr>
        <w:pStyle w:val="FirstParagraph"/>
      </w:pPr>
      <w:r>
        <w:t xml:space="preserve">For each prediction, the model retrieves the top-</w:t>
      </w:r>
      <m:oMath>
        <m:r>
          <m:t>k</m:t>
        </m:r>
      </m:oMath>
      <w:r>
        <w:t xml:space="preserve"> </w:t>
      </w:r>
      <w:r>
        <w:t xml:space="preserve">supporting graph neighborhoods and evidence snippets. A language model then generates a concise rationale, but each claim is retained only if it can be mapped to a valid path in the graph. Unsupported statements are removed or marked as uncertain. This constraint is important in clinical settings, where a fluent but ungrounded explanation can be more dangerous than no explanation at all.</w:t>
      </w:r>
    </w:p>
    <w:bookmarkEnd w:id="26"/>
    <w:bookmarkStart w:id="28" w:name="experimental-protocol"/>
    <w:p>
      <w:pPr>
        <w:pStyle w:val="Heading2"/>
      </w:pPr>
      <w:r>
        <w:t xml:space="preserve">Experimental Protocol</w:t>
      </w:r>
    </w:p>
    <w:p>
      <w:pPr>
        <w:pStyle w:val="FirstParagraph"/>
      </w:pPr>
      <w:r>
        <w:t xml:space="preserve">The recommended evaluation tasks are in-hospital mortality prediction and diagnosis group classification. Baselines should include a signal-only model, a text-only model, an early-fusion multimodal model without graph reasoning, a graph model without signal phenotype nodes, and an unconstrained retrieval-based explainer. Primary metrics are AUROC, Macro-F1, AUPRC, calibration error (ECE), and explanation faithfulness measured by unsupported-claim rate.</w:t>
      </w:r>
    </w:p>
    <w:bookmarkStart w:id="27" w:name="tab:results"/>
    <w:p>
      <w:pPr>
        <w:pStyle w:val="TableCaption"/>
      </w:pPr>
      <w:r>
        <w:t xml:space="preserve">Suggested evaluation summary for the final manuscript.</w:t>
      </w:r>
    </w:p>
    <w:tbl>
      <w:tblPr>
        <w:tblStyle w:val="Table"/>
        <w:tblW w:type="auto" w:w="0"/>
        <w:tblLook w:firstRow="1" w:lastRow="0" w:firstColumn="0" w:lastColumn="0" w:noHBand="0" w:noVBand="0" w:val="0020"/>
        <w:jc w:val="start"/>
        <w:tblCaption w:val="Suggested evaluation summary for the final manuscrip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center"/>
            </w:pPr>
            <w:r>
              <w:t xml:space="preserve">AUROC</w:t>
            </w:r>
          </w:p>
        </w:tc>
        <w:tc>
          <w:tcPr/>
          <w:p>
            <w:pPr>
              <w:pStyle w:val="Compact"/>
              <w:jc w:val="center"/>
            </w:pPr>
            <w:r>
              <w:t xml:space="preserve">Macro-F1</w:t>
            </w:r>
          </w:p>
        </w:tc>
        <w:tc>
          <w:tcPr/>
          <w:p>
            <w:pPr>
              <w:pStyle w:val="Compact"/>
              <w:jc w:val="center"/>
            </w:pPr>
            <w:r>
              <w:t xml:space="preserve">ECE</w:t>
            </w:r>
          </w:p>
        </w:tc>
        <w:tc>
          <w:tcPr/>
          <w:p>
            <w:pPr>
              <w:pStyle w:val="Compact"/>
              <w:jc w:val="center"/>
            </w:pPr>
            <w:r>
              <w:t xml:space="preserve">Unsupported</w:t>
            </w:r>
          </w:p>
        </w:tc>
      </w:tr>
      <w:tr>
        <w:tc>
          <w:tcPr/>
          <w:p>
            <w:pPr>
              <w:pStyle w:val="Compact"/>
              <w:jc w:val="left"/>
            </w:pPr>
            <w:r>
              <w:t xml:space="preserve">Signal-only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Text-only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Early fusion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KG w/o signal phenotypes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MedKG-Signal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7"/>
    <w:bookmarkEnd w:id="28"/>
    <w:bookmarkEnd w:id="29"/>
    <w:bookmarkStart w:id="30" w:name="conclusion"/>
    <w:p>
      <w:pPr>
        <w:pStyle w:val="Heading1"/>
      </w:pPr>
      <w:r>
        <w:t xml:space="preserve">Conclusion</w:t>
      </w:r>
    </w:p>
    <w:p>
      <w:pPr>
        <w:pStyle w:val="FirstParagraph"/>
      </w:pPr>
      <w:r>
        <w:t xml:space="preserve">This paper presented MedKG-Signal, a multimodal medical AI framework that combines physiological signal processing, clinical text understanding, and a heterogeneous knowledge graph for interpretable clinical decision support. The main idea is to make the graph serve both prediction and explanation, so that the model benefits from structured medical prior knowledge while remaining traceable to valid evidence paths. Future work should focus on prospective validation, institution-specific calibration, and latency-aware deployment for bedside use </w:t>
      </w:r>
      <w:r>
        <w:t xml:space="preserve">(Lewis et al. 2020)</w:t>
      </w:r>
      <w:r>
        <w:t xml:space="preserve">.</w:t>
      </w:r>
    </w:p>
    <w:bookmarkEnd w:id="30"/>
    <w:bookmarkStart w:id="31" w:name="acknowledgments"/>
    <w:p>
      <w:pPr>
        <w:pStyle w:val="Heading1"/>
      </w:pPr>
      <w:r>
        <w:t xml:space="preserve">Acknowledgments</w:t>
      </w:r>
    </w:p>
    <w:bookmarkEnd w:id="31"/>
    <w:bookmarkStart w:id="32" w:name="acknowledgment"/>
    <w:p>
      <w:pPr>
        <w:pStyle w:val="Heading1"/>
      </w:pPr>
      <w:r>
        <w:t xml:space="preserve">Acknowledgment</w:t>
      </w:r>
    </w:p>
    <w:p>
      <w:pPr>
        <w:pStyle w:val="FirstParagraph"/>
      </w:pPr>
      <w:r>
        <w:t xml:space="preserve">The authors would like to thank the medical and engineering communities whose datasets, ontologies, and open research resources make this work possible.</w:t>
      </w:r>
    </w:p>
    <w:bookmarkEnd w:id="32"/>
    <w:bookmarkStart w:id="39" w:name="references"/>
    <w:p>
      <w:pPr>
        <w:pStyle w:val="Heading1"/>
      </w:pPr>
      <w:r>
        <w:t xml:space="preserve">References</w:t>
      </w:r>
    </w:p>
    <w:bookmarkStart w:id="38" w:name="refs"/>
    <w:bookmarkStart w:id="33" w:name="ref-umls2004"/>
    <w:p>
      <w:pPr>
        <w:pStyle w:val="Bibliography"/>
      </w:pPr>
      <w:r>
        <w:t xml:space="preserve">Bodenreider, Olivier. 2004.</w:t>
      </w:r>
      <w:r>
        <w:t xml:space="preserve"> </w:t>
      </w:r>
      <w:r>
        <w:t xml:space="preserve">“The Unified Medical Language System (UMLS): Integrating Biomedical Terminology.”</w:t>
      </w:r>
      <w:r>
        <w:t xml:space="preserve"> </w:t>
      </w:r>
      <w:r>
        <w:rPr>
          <w:iCs/>
          <w:i/>
        </w:rPr>
        <w:t xml:space="preserve">Nucleic Acids Research</w:t>
      </w:r>
      <w:r>
        <w:t xml:space="preserve"> </w:t>
      </w:r>
      <w:r>
        <w:t xml:space="preserve">32 (suppl. 1): D267–70.</w:t>
      </w:r>
    </w:p>
    <w:bookmarkEnd w:id="33"/>
    <w:bookmarkStart w:id="34" w:name="ref-johnson2023mimiciv"/>
    <w:p>
      <w:pPr>
        <w:pStyle w:val="Bibliography"/>
      </w:pPr>
      <w:r>
        <w:t xml:space="preserve">Johnson, Alistair EW, Tom J Pollard, Lu Shen, Li-wei H Lehman, Mengling Feng, Marzyeh Ghassemi, Benjamin Moody, Peter Szolovits, Leo A Celi, and Roger G Mark. 2023.</w:t>
      </w:r>
      <w:r>
        <w:t xml:space="preserve"> </w:t>
      </w:r>
      <w:r>
        <w:t xml:space="preserve">“MIMIC-IV, a Freely Accessible Electronic Health Record Dataset.”</w:t>
      </w:r>
      <w:r>
        <w:t xml:space="preserve"> </w:t>
      </w:r>
      <w:r>
        <w:rPr>
          <w:iCs/>
          <w:i/>
        </w:rPr>
        <w:t xml:space="preserve">Scientific Data</w:t>
      </w:r>
      <w:r>
        <w:t xml:space="preserve"> </w:t>
      </w:r>
      <w:r>
        <w:t xml:space="preserve">10 (1).</w:t>
      </w:r>
    </w:p>
    <w:bookmarkEnd w:id="34"/>
    <w:bookmarkStart w:id="35" w:name="ref-kipf2017"/>
    <w:p>
      <w:pPr>
        <w:pStyle w:val="Bibliography"/>
      </w:pPr>
      <w:r>
        <w:t xml:space="preserve">Kipf, Thomas N, and Max Welling. 2017.</w:t>
      </w:r>
      <w:r>
        <w:t xml:space="preserve"> </w:t>
      </w:r>
      <w:r>
        <w:t xml:space="preserve">“Semi-Supervised Classification with Graph Convolutional Networks.”</w:t>
      </w:r>
      <w:r>
        <w:t xml:space="preserve"> </w:t>
      </w:r>
      <w:r>
        <w:t xml:space="preserve">In</w:t>
      </w:r>
      <w:r>
        <w:t xml:space="preserve"> </w:t>
      </w:r>
      <w:r>
        <w:rPr>
          <w:iCs/>
          <w:i/>
        </w:rPr>
        <w:t xml:space="preserve">International Conference on Learning Representations</w:t>
      </w:r>
      <w:r>
        <w:t xml:space="preserve">.</w:t>
      </w:r>
    </w:p>
    <w:bookmarkEnd w:id="35"/>
    <w:bookmarkStart w:id="36" w:name="ref-lewis2020"/>
    <w:p>
      <w:pPr>
        <w:pStyle w:val="Bibliography"/>
      </w:pPr>
      <w:r>
        <w:t xml:space="preserve">Lewis, Patrick, Ethan Perez, Aleksandra Piktus, Fabio Petroni, Vladimir Karpukhin, Naman Goyal, Heinrich K"uttler, et al. 2020.</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w:t>
      </w:r>
      <w:r>
        <w:t xml:space="preserve">.</w:t>
      </w:r>
    </w:p>
    <w:bookmarkEnd w:id="36"/>
    <w:bookmarkStart w:id="37" w:name="ref-schlichtkrull2018"/>
    <w:p>
      <w:pPr>
        <w:pStyle w:val="Bibliography"/>
      </w:pPr>
      <w:r>
        <w:t xml:space="preserve">Schlichtkrull, Michael, Thomas N Kipf, Peter Bloem, Rianne van den Berg, Ivan Titov, and Max Welling. 2018.</w:t>
      </w:r>
      <w:r>
        <w:t xml:space="preserve"> </w:t>
      </w:r>
      <w:r>
        <w:t xml:space="preserve">“Modeling Relational Data with Graph Convolutional Networks.”</w:t>
      </w:r>
      <w:r>
        <w:t xml:space="preserve"> </w:t>
      </w:r>
      <w:r>
        <w:t xml:space="preserve">In</w:t>
      </w:r>
      <w:r>
        <w:t xml:space="preserve"> </w:t>
      </w:r>
      <w:r>
        <w:rPr>
          <w:iCs/>
          <w:i/>
        </w:rPr>
        <w:t xml:space="preserve">The Semantic Web</w:t>
      </w:r>
      <w:r>
        <w:t xml:space="preserve">, 593–607. Springer.</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MedKG-Signal: Knowledge Graph-Augmented Multimodal Medical AI for Interpretable Clinical Risk Prediction</dc:title>
  <dc:creator>; </dc:creator>
  <cp:keywords/>
  <dcterms:created xsi:type="dcterms:W3CDTF">2026-07-22T18:22:17Z</dcterms:created>
  <dcterms:modified xsi:type="dcterms:W3CDTF">2026-07-22T18:22:17Z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AI systems often perform well on isolated prediction tasks but remain difficult to trust in real hospital workflows because they lack explicit clinical context and evidence traceability. This paper presents MedKG-Signal, a multimodal medical AI framework that combines physiological signal representations, clinical text embeddings, and a heterogeneous knowledge graph for interpretable risk prediction. The graph connects patient encounters, diagnoses, symptoms, medications, laboratory findings, and signal-derived phenotypes through ontology-aligned relations and provenance-aware evidence links. A relation-aware graph encoder is trained jointly with signal and text encoders to learn patient-level representations for downstream tasks such as in-hospital mortality prediction and diagnosis classification. To improve trustworthiness, we add a graph-grounded explanation module that retrieves valid clinical paths and generates evidence-backed rationales while filtering unsupported claims. The proposed design is intended for intensive-care and longitudinal hospital data settings where multimodal context is essential.</vt:lpwstr>
  </property>
  <property fmtid="{D5CDD505-2E9C-101B-9397-08002B2CF9AE}" pid="3" name="bibliography">
    <vt:lpwstr>/home/sijo/VeritasGraph/LatexTemplate/IEEE-conf/reference.bib</vt:lpwstr>
  </property>
</Properties>
</file>