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276" w:lineRule="auto" w:after="120" w:before="0"/>
        <w:jc w:val="center"/>
      </w:pPr>
      <w:r>
        <w:rPr>
          <w:rFonts w:ascii="Times New Roman" w:hAnsi="Times New Roman" w:eastAsia="標楷體"/>
          <w:b/>
          <w:color w:val="1F3A5F"/>
          <w:sz w:val="60"/>
        </w:rPr>
        <w:t>亞瑟系統</w:t>
      </w:r>
    </w:p>
    <w:p>
      <w:pPr>
        <w:spacing w:line="276" w:lineRule="auto" w:after="120" w:before="0"/>
        <w:jc w:val="center"/>
      </w:pPr>
      <w:r>
        <w:rPr>
          <w:rFonts w:ascii="Times New Roman" w:hAnsi="Times New Roman" w:eastAsia="標楷體"/>
          <w:b/>
          <w:color w:val="1F3A5F"/>
          <w:sz w:val="52"/>
        </w:rPr>
        <w:t>場域測試與功能驗證報告</w:t>
      </w:r>
    </w:p>
    <w:p/>
    <w:p/>
    <w:p/>
    <w:p/>
    <w:p/>
    <w:p/>
    <w:p>
      <w:pPr>
        <w:spacing w:line="276" w:lineRule="auto" w:after="120" w:before="0"/>
        <w:jc w:val="center"/>
      </w:pPr>
      <w:r>
        <w:rPr>
          <w:rFonts w:ascii="Times New Roman" w:hAnsi="Times New Roman" w:eastAsia="標楷體"/>
          <w:b w:val="0"/>
          <w:sz w:val="32"/>
        </w:rPr>
        <w:t>智慧耗材管理與供應協作平台</w:t>
      </w:r>
    </w:p>
    <w:p>
      <w:pPr>
        <w:spacing w:line="276" w:lineRule="auto" w:after="120" w:before="0"/>
        <w:jc w:val="center"/>
      </w:pPr>
      <w:r>
        <w:rPr>
          <w:rFonts w:ascii="Times New Roman" w:hAnsi="Times New Roman" w:eastAsia="標楷體"/>
          <w:b w:val="0"/>
          <w:sz w:val="28"/>
        </w:rPr>
        <w:t>六大模組 × 四類測試 驗收實測結果</w:t>
      </w:r>
    </w:p>
    <w:p/>
    <w:p/>
    <w:p/>
    <w:p/>
    <w:p/>
    <w:p/>
    <w:p/>
    <w:p/>
    <w:p>
      <w:pPr>
        <w:spacing w:line="276" w:lineRule="auto" w:after="120" w:before="0"/>
        <w:jc w:val="center"/>
      </w:pPr>
      <w:r>
        <w:rPr>
          <w:rFonts w:ascii="Times New Roman" w:hAnsi="Times New Roman" w:eastAsia="標楷體"/>
          <w:b w:val="0"/>
          <w:sz w:val="28"/>
        </w:rPr>
        <w:t>版本：v2.0</w:t>
      </w:r>
    </w:p>
    <w:p>
      <w:pPr>
        <w:spacing w:line="276" w:lineRule="auto" w:after="120" w:before="0"/>
        <w:jc w:val="center"/>
      </w:pPr>
      <w:r>
        <w:rPr>
          <w:rFonts w:ascii="Times New Roman" w:hAnsi="Times New Roman" w:eastAsia="標楷體"/>
          <w:b w:val="0"/>
          <w:sz w:val="28"/>
        </w:rPr>
        <w:t>報告日期：中華民國 115 年 7 月 31 日</w:t>
      </w:r>
    </w:p>
    <w:p>
      <w:pPr>
        <w:spacing w:line="276" w:lineRule="auto" w:after="120" w:before="0"/>
        <w:jc w:val="center"/>
      </w:pPr>
      <w:r>
        <w:rPr>
          <w:rFonts w:ascii="Times New Roman" w:hAnsi="Times New Roman" w:eastAsia="標楷體"/>
          <w:b w:val="0"/>
          <w:sz w:val="28"/>
        </w:rPr>
        <w:t>編撰依據：依實際上線系統之程式碼與實機測試撰寫</w:t>
      </w:r>
    </w:p>
    <w:p>
      <w:r>
        <w:br w:type="page"/>
      </w:r>
    </w:p>
    <w:p>
      <w:pPr>
        <w:spacing w:line="276" w:lineRule="auto" w:after="160" w:before="280"/>
        <w:jc w:val="left"/>
      </w:pPr>
      <w:r>
        <w:rPr>
          <w:rFonts w:ascii="Times New Roman" w:hAnsi="Times New Roman" w:eastAsia="標楷體"/>
          <w:b/>
          <w:color w:val="1F3A5F"/>
          <w:sz w:val="28"/>
        </w:rPr>
        <w:t>目　錄</w:t>
      </w:r>
    </w:p>
    <w:p>
      <w:pPr>
        <w:spacing w:line="276" w:lineRule="auto" w:after="120" w:before="0"/>
        <w:jc w:val="left"/>
      </w:pPr>
      <w:r>
        <w:rPr>
          <w:rFonts w:ascii="Times New Roman" w:hAnsi="Times New Roman" w:eastAsia="標楷體"/>
          <w:b w:val="0"/>
          <w:sz w:val="24"/>
        </w:rPr>
        <w:fldChar w:fldCharType="begin"/>
        <w:instrText xml:space="preserve">TOC \o "1-3" \h \z \u</w:instrText>
        <w:fldChar w:fldCharType="separate"/>
        <w:t>（開啟後於此處按滑鼠右鍵→更新功能變數，即產生含頁碼之目錄）</w:t>
        <w:fldChar w:fldCharType="end"/>
      </w:r>
    </w:p>
    <w:p>
      <w:pPr>
        <w:spacing w:line="276" w:lineRule="auto" w:after="120" w:before="0"/>
        <w:ind w:firstLine="480"/>
        <w:jc w:val="both"/>
      </w:pPr>
      <w:r>
        <w:rPr>
          <w:rFonts w:ascii="Times New Roman" w:hAnsi="Times New Roman" w:eastAsia="標楷體"/>
          <w:b w:val="0"/>
          <w:sz w:val="24"/>
        </w:rPr>
        <w:t>本報告章節如下：壹、前言；貳、測試環境與方法；參、驗收指標總覽；肆、需求預測模組測試；伍、補貨建議模組測試；陸、異常預警模組測試；柒、協同配送模組測試；捌、營運儀表板模組測試；玖、維修支援模組測試；拾、效能與併發測試專章；拾壹、待補測項目；拾貳、結論。第肆至玖章之六個模組，均以「系統整合測試、資料串接測試、情境模擬測試、使用者驗證測試」四類測試逐一檢驗。</w:t>
      </w:r>
    </w:p>
    <w:p>
      <w:r>
        <w:br w:type="page"/>
      </w:r>
    </w:p>
    <w:p>
      <w:pPr>
        <w:spacing w:line="276" w:lineRule="auto" w:after="160" w:before="280"/>
        <w:jc w:val="left"/>
      </w:pPr>
      <w:r>
        <w:rPr>
          <w:rFonts w:ascii="Times New Roman" w:hAnsi="Times New Roman" w:eastAsia="標楷體"/>
          <w:b/>
          <w:color w:val="1F3A5F"/>
          <w:sz w:val="28"/>
        </w:rPr>
        <w:t>壹、前言</w:t>
      </w:r>
    </w:p>
    <w:p>
      <w:pPr>
        <w:spacing w:line="276" w:lineRule="auto" w:after="120" w:before="160"/>
        <w:jc w:val="left"/>
      </w:pPr>
      <w:r>
        <w:rPr>
          <w:rFonts w:ascii="Times New Roman" w:hAnsi="Times New Roman" w:eastAsia="標楷體"/>
          <w:b/>
          <w:sz w:val="28"/>
        </w:rPr>
        <w:t>一、報告目的</w:t>
      </w:r>
    </w:p>
    <w:p>
      <w:pPr>
        <w:spacing w:line="276" w:lineRule="auto" w:after="120" w:before="0"/>
        <w:ind w:firstLine="480"/>
        <w:jc w:val="both"/>
      </w:pPr>
      <w:r>
        <w:rPr>
          <w:rFonts w:ascii="Times New Roman" w:hAnsi="Times New Roman" w:eastAsia="標楷體"/>
          <w:b w:val="0"/>
          <w:sz w:val="24"/>
        </w:rPr>
        <w:t>本報告為亞瑟智慧耗材管理與供應協作平台之場域測試與功能驗證紀錄。茲就本平台六大模組於實機測試環境之驗證結果予以陳明，並就本計畫所承諾之四項驗收指標——功能測試通過率、資料正確率、同時支援人數、回應時間——逐項列示實測數據與達標判定。本報告係政府補助案之驗收文件，所載數據悉數取自實際測試工具之輸出，未經修飾或推估；凡本機環境未能執行之測試，均據實列入待補測章節，不以完成計。</w:t>
      </w:r>
    </w:p>
    <w:p>
      <w:pPr>
        <w:spacing w:line="276" w:lineRule="auto" w:after="120" w:before="160"/>
        <w:jc w:val="left"/>
      </w:pPr>
      <w:r>
        <w:rPr>
          <w:rFonts w:ascii="Times New Roman" w:hAnsi="Times New Roman" w:eastAsia="標楷體"/>
          <w:b/>
          <w:sz w:val="28"/>
        </w:rPr>
        <w:t>二、測試範圍</w:t>
      </w:r>
    </w:p>
    <w:p>
      <w:pPr>
        <w:spacing w:line="276" w:lineRule="auto" w:after="120" w:before="0"/>
        <w:ind w:firstLine="480"/>
        <w:jc w:val="both"/>
      </w:pPr>
      <w:r>
        <w:rPr>
          <w:rFonts w:ascii="Times New Roman" w:hAnsi="Times New Roman" w:eastAsia="標楷體"/>
          <w:b w:val="0"/>
          <w:sz w:val="24"/>
        </w:rPr>
        <w:t>測試涵蓋本平台之六大功能模組，依系統規劃之順序排列如下表。各模組均以四類測試方法檢驗，測試範圍涵蓋後端服務邏輯、資料表串接、端到端情境流程與使用者驗收畫面。</w:t>
      </w:r>
    </w:p>
    <w:tbl>
      <w:tblPr>
        <w:tblStyle w:val="TableGrid"/>
        <w:tblW w:type="auto" w:w="0"/>
        <w:jc w:val="center"/>
        <w:tblLook w:firstColumn="1" w:firstRow="1" w:lastColumn="0" w:lastRow="0" w:noHBand="0" w:noVBand="1" w:val="04A0"/>
      </w:tblPr>
      <w:tblGrid>
        <w:gridCol w:w="2880"/>
        <w:gridCol w:w="2880"/>
        <w:gridCol w:w="2880"/>
      </w:tblGrid>
      <w:tr>
        <w:tc>
          <w:tcPr>
            <w:tcW w:type="dxa" w:w="794"/>
            <w:shd w:val="clear" w:color="auto" w:fill="D9E2F3"/>
          </w:tcPr>
          <w:p>
            <w:pPr>
              <w:spacing w:line="276" w:lineRule="auto" w:after="0" w:before="0"/>
              <w:jc w:val="left"/>
            </w:pPr>
            <w:r/>
            <w:r>
              <w:rPr>
                <w:rFonts w:ascii="Times New Roman" w:hAnsi="Times New Roman" w:eastAsia="標楷體"/>
                <w:b/>
                <w:sz w:val="22"/>
              </w:rPr>
              <w:t>章</w:t>
            </w:r>
          </w:p>
        </w:tc>
        <w:tc>
          <w:tcPr>
            <w:tcW w:type="dxa" w:w="1814"/>
            <w:shd w:val="clear" w:color="auto" w:fill="D9E2F3"/>
          </w:tcPr>
          <w:p>
            <w:pPr>
              <w:spacing w:line="276" w:lineRule="auto" w:after="0" w:before="0"/>
              <w:jc w:val="left"/>
            </w:pPr>
            <w:r/>
            <w:r>
              <w:rPr>
                <w:rFonts w:ascii="Times New Roman" w:hAnsi="Times New Roman" w:eastAsia="標楷體"/>
                <w:b/>
                <w:sz w:val="22"/>
              </w:rPr>
              <w:t>模組</w:t>
            </w:r>
          </w:p>
        </w:tc>
        <w:tc>
          <w:tcPr>
            <w:tcW w:type="dxa" w:w="4876"/>
            <w:shd w:val="clear" w:color="auto" w:fill="D9E2F3"/>
          </w:tcPr>
          <w:p>
            <w:pPr>
              <w:spacing w:line="276" w:lineRule="auto" w:after="0" w:before="0"/>
              <w:jc w:val="left"/>
            </w:pPr>
            <w:r/>
            <w:r>
              <w:rPr>
                <w:rFonts w:ascii="Times New Roman" w:hAnsi="Times New Roman" w:eastAsia="標楷體"/>
                <w:b/>
                <w:sz w:val="22"/>
              </w:rPr>
              <w:t>核心職能</w:t>
            </w:r>
          </w:p>
        </w:tc>
      </w:tr>
      <w:tr>
        <w:tc>
          <w:tcPr>
            <w:tcW w:type="dxa" w:w="794"/>
          </w:tcPr>
          <w:p>
            <w:pPr>
              <w:spacing w:line="276" w:lineRule="auto" w:after="0" w:before="0"/>
              <w:jc w:val="left"/>
            </w:pPr>
            <w:r/>
            <w:r>
              <w:rPr>
                <w:rFonts w:ascii="Times New Roman" w:hAnsi="Times New Roman" w:eastAsia="標楷體"/>
                <w:b w:val="0"/>
                <w:sz w:val="22"/>
              </w:rPr>
              <w:t>肆</w:t>
            </w:r>
          </w:p>
        </w:tc>
        <w:tc>
          <w:tcPr>
            <w:tcW w:type="dxa" w:w="1814"/>
          </w:tcPr>
          <w:p>
            <w:pPr>
              <w:spacing w:line="276" w:lineRule="auto" w:after="0" w:before="0"/>
              <w:jc w:val="left"/>
            </w:pPr>
            <w:r/>
            <w:r>
              <w:rPr>
                <w:rFonts w:ascii="Times New Roman" w:hAnsi="Times New Roman" w:eastAsia="標楷體"/>
                <w:b w:val="0"/>
                <w:sz w:val="22"/>
              </w:rPr>
              <w:t>需求預測</w:t>
            </w:r>
          </w:p>
        </w:tc>
        <w:tc>
          <w:tcPr>
            <w:tcW w:type="dxa" w:w="4876"/>
          </w:tcPr>
          <w:p>
            <w:pPr>
              <w:spacing w:line="276" w:lineRule="auto" w:after="0" w:before="0"/>
              <w:jc w:val="left"/>
            </w:pPr>
            <w:r/>
            <w:r>
              <w:rPr>
                <w:rFonts w:ascii="Times New Roman" w:hAnsi="Times New Roman" w:eastAsia="標楷體"/>
                <w:b w:val="0"/>
                <w:sz w:val="22"/>
              </w:rPr>
              <w:t>依歷史用量推估各場域次月耗材需求</w:t>
            </w:r>
          </w:p>
        </w:tc>
      </w:tr>
      <w:tr>
        <w:tc>
          <w:tcPr>
            <w:tcW w:type="dxa" w:w="794"/>
          </w:tcPr>
          <w:p>
            <w:pPr>
              <w:spacing w:line="276" w:lineRule="auto" w:after="0" w:before="0"/>
              <w:jc w:val="left"/>
            </w:pPr>
            <w:r/>
            <w:r>
              <w:rPr>
                <w:rFonts w:ascii="Times New Roman" w:hAnsi="Times New Roman" w:eastAsia="標楷體"/>
                <w:b w:val="0"/>
                <w:sz w:val="22"/>
              </w:rPr>
              <w:t>伍</w:t>
            </w:r>
          </w:p>
        </w:tc>
        <w:tc>
          <w:tcPr>
            <w:tcW w:type="dxa" w:w="1814"/>
          </w:tcPr>
          <w:p>
            <w:pPr>
              <w:spacing w:line="276" w:lineRule="auto" w:after="0" w:before="0"/>
              <w:jc w:val="left"/>
            </w:pPr>
            <w:r/>
            <w:r>
              <w:rPr>
                <w:rFonts w:ascii="Times New Roman" w:hAnsi="Times New Roman" w:eastAsia="標楷體"/>
                <w:b w:val="0"/>
                <w:sz w:val="22"/>
              </w:rPr>
              <w:t>補貨建議</w:t>
            </w:r>
          </w:p>
        </w:tc>
        <w:tc>
          <w:tcPr>
            <w:tcW w:type="dxa" w:w="4876"/>
          </w:tcPr>
          <w:p>
            <w:pPr>
              <w:spacing w:line="276" w:lineRule="auto" w:after="0" w:before="0"/>
              <w:jc w:val="left"/>
            </w:pPr>
            <w:r/>
            <w:r>
              <w:rPr>
                <w:rFonts w:ascii="Times New Roman" w:hAnsi="Times New Roman" w:eastAsia="標楷體"/>
                <w:b w:val="0"/>
                <w:sz w:val="22"/>
              </w:rPr>
              <w:t>將預測轉為月訂貨草稿與供應商備貨前視</w:t>
            </w:r>
          </w:p>
        </w:tc>
      </w:tr>
      <w:tr>
        <w:tc>
          <w:tcPr>
            <w:tcW w:type="dxa" w:w="794"/>
          </w:tcPr>
          <w:p>
            <w:pPr>
              <w:spacing w:line="276" w:lineRule="auto" w:after="0" w:before="0"/>
              <w:jc w:val="left"/>
            </w:pPr>
            <w:r/>
            <w:r>
              <w:rPr>
                <w:rFonts w:ascii="Times New Roman" w:hAnsi="Times New Roman" w:eastAsia="標楷體"/>
                <w:b w:val="0"/>
                <w:sz w:val="22"/>
              </w:rPr>
              <w:t>陸</w:t>
            </w:r>
          </w:p>
        </w:tc>
        <w:tc>
          <w:tcPr>
            <w:tcW w:type="dxa" w:w="1814"/>
          </w:tcPr>
          <w:p>
            <w:pPr>
              <w:spacing w:line="276" w:lineRule="auto" w:after="0" w:before="0"/>
              <w:jc w:val="left"/>
            </w:pPr>
            <w:r/>
            <w:r>
              <w:rPr>
                <w:rFonts w:ascii="Times New Roman" w:hAnsi="Times New Roman" w:eastAsia="標楷體"/>
                <w:b w:val="0"/>
                <w:sz w:val="22"/>
              </w:rPr>
              <w:t>異常預警</w:t>
            </w:r>
          </w:p>
        </w:tc>
        <w:tc>
          <w:tcPr>
            <w:tcW w:type="dxa" w:w="4876"/>
          </w:tcPr>
          <w:p>
            <w:pPr>
              <w:spacing w:line="276" w:lineRule="auto" w:after="0" w:before="0"/>
              <w:jc w:val="left"/>
            </w:pPr>
            <w:r/>
            <w:r>
              <w:rPr>
                <w:rFonts w:ascii="Times New Roman" w:hAnsi="Times New Roman" w:eastAsia="標楷體"/>
                <w:b w:val="0"/>
                <w:sz w:val="22"/>
              </w:rPr>
              <w:t>六類型自動巡檢、分級去重與雙向通知</w:t>
            </w:r>
          </w:p>
        </w:tc>
      </w:tr>
      <w:tr>
        <w:tc>
          <w:tcPr>
            <w:tcW w:type="dxa" w:w="794"/>
          </w:tcPr>
          <w:p>
            <w:pPr>
              <w:spacing w:line="276" w:lineRule="auto" w:after="0" w:before="0"/>
              <w:jc w:val="left"/>
            </w:pPr>
            <w:r/>
            <w:r>
              <w:rPr>
                <w:rFonts w:ascii="Times New Roman" w:hAnsi="Times New Roman" w:eastAsia="標楷體"/>
                <w:b w:val="0"/>
                <w:sz w:val="22"/>
              </w:rPr>
              <w:t>柒</w:t>
            </w:r>
          </w:p>
        </w:tc>
        <w:tc>
          <w:tcPr>
            <w:tcW w:type="dxa" w:w="1814"/>
          </w:tcPr>
          <w:p>
            <w:pPr>
              <w:spacing w:line="276" w:lineRule="auto" w:after="0" w:before="0"/>
              <w:jc w:val="left"/>
            </w:pPr>
            <w:r/>
            <w:r>
              <w:rPr>
                <w:rFonts w:ascii="Times New Roman" w:hAnsi="Times New Roman" w:eastAsia="標楷體"/>
                <w:b w:val="0"/>
                <w:sz w:val="22"/>
              </w:rPr>
              <w:t>協同配送</w:t>
            </w:r>
          </w:p>
        </w:tc>
        <w:tc>
          <w:tcPr>
            <w:tcW w:type="dxa" w:w="4876"/>
          </w:tcPr>
          <w:p>
            <w:pPr>
              <w:spacing w:line="276" w:lineRule="auto" w:after="0" w:before="0"/>
              <w:jc w:val="left"/>
            </w:pPr>
            <w:r/>
            <w:r>
              <w:rPr>
                <w:rFonts w:ascii="Times New Roman" w:hAnsi="Times New Roman" w:eastAsia="標楷體"/>
                <w:b w:val="0"/>
                <w:sz w:val="22"/>
              </w:rPr>
              <w:t>區域整併排單、批次出車與來源庫存預檢</w:t>
            </w:r>
          </w:p>
        </w:tc>
      </w:tr>
      <w:tr>
        <w:tc>
          <w:tcPr>
            <w:tcW w:type="dxa" w:w="794"/>
          </w:tcPr>
          <w:p>
            <w:pPr>
              <w:spacing w:line="276" w:lineRule="auto" w:after="0" w:before="0"/>
              <w:jc w:val="left"/>
            </w:pPr>
            <w:r/>
            <w:r>
              <w:rPr>
                <w:rFonts w:ascii="Times New Roman" w:hAnsi="Times New Roman" w:eastAsia="標楷體"/>
                <w:b w:val="0"/>
                <w:sz w:val="22"/>
              </w:rPr>
              <w:t>捌</w:t>
            </w:r>
          </w:p>
        </w:tc>
        <w:tc>
          <w:tcPr>
            <w:tcW w:type="dxa" w:w="1814"/>
          </w:tcPr>
          <w:p>
            <w:pPr>
              <w:spacing w:line="276" w:lineRule="auto" w:after="0" w:before="0"/>
              <w:jc w:val="left"/>
            </w:pPr>
            <w:r/>
            <w:r>
              <w:rPr>
                <w:rFonts w:ascii="Times New Roman" w:hAnsi="Times New Roman" w:eastAsia="標楷體"/>
                <w:b w:val="0"/>
                <w:sz w:val="22"/>
              </w:rPr>
              <w:t>營運儀表板</w:t>
            </w:r>
          </w:p>
        </w:tc>
        <w:tc>
          <w:tcPr>
            <w:tcW w:type="dxa" w:w="4876"/>
          </w:tcPr>
          <w:p>
            <w:pPr>
              <w:spacing w:line="276" w:lineRule="auto" w:after="0" w:before="0"/>
              <w:jc w:val="left"/>
            </w:pPr>
            <w:r/>
            <w:r>
              <w:rPr>
                <w:rFonts w:ascii="Times New Roman" w:hAnsi="Times New Roman" w:eastAsia="標楷體"/>
                <w:b w:val="0"/>
                <w:sz w:val="22"/>
              </w:rPr>
              <w:t>預算控管、指標計算、歷史查詢與稽核</w:t>
            </w:r>
          </w:p>
        </w:tc>
      </w:tr>
      <w:tr>
        <w:tc>
          <w:tcPr>
            <w:tcW w:type="dxa" w:w="794"/>
          </w:tcPr>
          <w:p>
            <w:pPr>
              <w:spacing w:line="276" w:lineRule="auto" w:after="0" w:before="0"/>
              <w:jc w:val="left"/>
            </w:pPr>
            <w:r/>
            <w:r>
              <w:rPr>
                <w:rFonts w:ascii="Times New Roman" w:hAnsi="Times New Roman" w:eastAsia="標楷體"/>
                <w:b w:val="0"/>
                <w:sz w:val="22"/>
              </w:rPr>
              <w:t>玖</w:t>
            </w:r>
          </w:p>
        </w:tc>
        <w:tc>
          <w:tcPr>
            <w:tcW w:type="dxa" w:w="1814"/>
          </w:tcPr>
          <w:p>
            <w:pPr>
              <w:spacing w:line="276" w:lineRule="auto" w:after="0" w:before="0"/>
              <w:jc w:val="left"/>
            </w:pPr>
            <w:r/>
            <w:r>
              <w:rPr>
                <w:rFonts w:ascii="Times New Roman" w:hAnsi="Times New Roman" w:eastAsia="標楷體"/>
                <w:b w:val="0"/>
                <w:sz w:val="22"/>
              </w:rPr>
              <w:t>維修支援</w:t>
            </w:r>
          </w:p>
        </w:tc>
        <w:tc>
          <w:tcPr>
            <w:tcW w:type="dxa" w:w="4876"/>
          </w:tcPr>
          <w:p>
            <w:pPr>
              <w:spacing w:line="276" w:lineRule="auto" w:after="0" w:before="0"/>
              <w:jc w:val="left"/>
            </w:pPr>
            <w:r/>
            <w:r>
              <w:rPr>
                <w:rFonts w:ascii="Times New Roman" w:hAnsi="Times New Roman" w:eastAsia="標楷體"/>
                <w:b w:val="0"/>
                <w:sz w:val="22"/>
              </w:rPr>
              <w:t>資產折舊、報修流程、時效追蹤與汰換決策</w:t>
            </w:r>
          </w:p>
        </w:tc>
      </w:tr>
    </w:tbl>
    <w:p/>
    <w:p>
      <w:pPr>
        <w:spacing w:line="276" w:lineRule="auto" w:after="120" w:before="160"/>
        <w:jc w:val="left"/>
      </w:pPr>
      <w:r>
        <w:rPr>
          <w:rFonts w:ascii="Times New Roman" w:hAnsi="Times New Roman" w:eastAsia="標楷體"/>
          <w:b/>
          <w:sz w:val="28"/>
        </w:rPr>
        <w:t>三、測試環境概述</w:t>
      </w:r>
    </w:p>
    <w:p>
      <w:pPr>
        <w:spacing w:line="276" w:lineRule="auto" w:after="120" w:before="0"/>
        <w:ind w:firstLine="480"/>
        <w:jc w:val="both"/>
      </w:pPr>
      <w:r>
        <w:rPr>
          <w:rFonts w:ascii="Times New Roman" w:hAnsi="Times New Roman" w:eastAsia="標楷體"/>
          <w:b w:val="0"/>
          <w:sz w:val="24"/>
        </w:rPr>
        <w:t>功能與整合測試於開發機（dev）以自動化測試框架執行；併發與回應時間則分為「外部真實使用者模擬」與「伺服器本機純承載對照」兩種做法量測，前者自高雄經網際網路打 dev 對外網域、含真實網路延遲，後者於伺服器本機打 localhost、排除網路延遲以觀察系統純承載能力。詳細硬體、工具與方法定義見第貳章。</w:t>
      </w:r>
    </w:p>
    <w:p>
      <w:pPr>
        <w:spacing w:line="276" w:lineRule="auto" w:after="120" w:before="160"/>
        <w:jc w:val="left"/>
      </w:pPr>
      <w:r>
        <w:rPr>
          <w:rFonts w:ascii="Times New Roman" w:hAnsi="Times New Roman" w:eastAsia="標楷體"/>
          <w:b/>
          <w:sz w:val="28"/>
        </w:rPr>
        <w:t>四、誠實揭露聲明</w:t>
      </w:r>
    </w:p>
    <w:p>
      <w:pPr>
        <w:spacing w:line="276" w:lineRule="auto" w:after="120" w:before="0"/>
        <w:ind w:firstLine="480"/>
        <w:jc w:val="both"/>
      </w:pPr>
      <w:r>
        <w:rPr>
          <w:rFonts w:ascii="Times New Roman" w:hAnsi="Times New Roman" w:eastAsia="標楷體"/>
          <w:b w:val="0"/>
          <w:sz w:val="24"/>
        </w:rPr>
        <w:t>本平台之六個模組雖以「智慧」或「AI」稱之，惟其系統實作全數為「規則＋統計」之演算法引擎，未使用大型語言模型、深度學習或神經網路，此與本案之《系統開發報告》及《系統規劃書》所述一致。各模組之判斷（如需求預測、補貨排序、配送整併、維修核價）均可提出明確之公式、門檻與比較基準，屬可解釋、可稽核之設計取向。</w:t>
      </w:r>
    </w:p>
    <w:p>
      <w:pPr>
        <w:spacing w:line="276" w:lineRule="auto" w:after="120" w:before="0"/>
        <w:ind w:firstLine="480"/>
        <w:jc w:val="both"/>
      </w:pPr>
      <w:r>
        <w:rPr>
          <w:rFonts w:ascii="Times New Roman" w:hAnsi="Times New Roman" w:eastAsia="標楷體"/>
          <w:b w:val="0"/>
          <w:sz w:val="24"/>
        </w:rPr>
        <w:t>另須特別澄清指標一之口徑：本報告所稱「功能測試通過率」係指「已撰寫之測試案例全數通過之比率」，並非「測試覆蓋率」；二者為不同概念，本報告僅就通過率提出數據，不以通過率宣稱覆蓋率之高低。併發測試之數據取自資源受限之開發機且與其他服務混跑，屬保守下限，正式獨佔環境之表現將優於本報告所載。</w:t>
      </w:r>
    </w:p>
    <w:p>
      <w:r>
        <w:br w:type="page"/>
      </w:r>
    </w:p>
    <w:p>
      <w:pPr>
        <w:spacing w:line="276" w:lineRule="auto" w:after="160" w:before="280"/>
        <w:jc w:val="left"/>
      </w:pPr>
      <w:r>
        <w:rPr>
          <w:rFonts w:ascii="Times New Roman" w:hAnsi="Times New Roman" w:eastAsia="標楷體"/>
          <w:b/>
          <w:color w:val="1F3A5F"/>
          <w:sz w:val="28"/>
        </w:rPr>
        <w:t>貳、測試環境與方法</w:t>
      </w:r>
    </w:p>
    <w:p>
      <w:pPr>
        <w:spacing w:line="276" w:lineRule="auto" w:after="120" w:before="160"/>
        <w:jc w:val="left"/>
      </w:pPr>
      <w:r>
        <w:rPr>
          <w:rFonts w:ascii="Times New Roman" w:hAnsi="Times New Roman" w:eastAsia="標楷體"/>
          <w:b/>
          <w:sz w:val="28"/>
        </w:rPr>
        <w:t>一、硬體與執行環境</w:t>
      </w:r>
    </w:p>
    <w:p>
      <w:pPr>
        <w:spacing w:line="276" w:lineRule="auto" w:after="120" w:before="0"/>
        <w:ind w:firstLine="480"/>
        <w:jc w:val="both"/>
      </w:pPr>
      <w:r>
        <w:rPr>
          <w:rFonts w:ascii="Times New Roman" w:hAnsi="Times New Roman" w:eastAsia="標楷體"/>
          <w:b w:val="0"/>
          <w:sz w:val="24"/>
        </w:rPr>
        <w:t>本次測試之開發機規格如下表。須留意者，該機為多服務混跑之非獨佔環境，同時運行派工 API、機器人、監控、預測引擎與前端等服務，且記憶體僅 3.8GB、置換空間 2GB，資源相當受限。在此條件下量得之併發與回應數據仍全數達標，可視為系統效能之保守底限。</w:t>
      </w:r>
    </w:p>
    <w:tbl>
      <w:tblPr>
        <w:tblStyle w:val="TableGrid"/>
        <w:tblW w:type="auto" w:w="0"/>
        <w:jc w:val="center"/>
        <w:tblLook w:firstColumn="1" w:firstRow="1" w:lastColumn="0" w:lastRow="0" w:noHBand="0" w:noVBand="1" w:val="04A0"/>
      </w:tblPr>
      <w:tblGrid>
        <w:gridCol w:w="4320"/>
        <w:gridCol w:w="4320"/>
      </w:tblGrid>
      <w:tr>
        <w:tc>
          <w:tcPr>
            <w:tcW w:type="dxa" w:w="1701"/>
            <w:shd w:val="clear" w:color="auto" w:fill="D9E2F3"/>
          </w:tcPr>
          <w:p>
            <w:pPr>
              <w:spacing w:line="276" w:lineRule="auto" w:after="0" w:before="0"/>
              <w:jc w:val="left"/>
            </w:pPr>
            <w:r/>
            <w:r>
              <w:rPr>
                <w:rFonts w:ascii="Times New Roman" w:hAnsi="Times New Roman" w:eastAsia="標楷體"/>
                <w:b/>
                <w:sz w:val="22"/>
              </w:rPr>
              <w:t>項目</w:t>
            </w:r>
          </w:p>
        </w:tc>
        <w:tc>
          <w:tcPr>
            <w:tcW w:type="dxa" w:w="5783"/>
            <w:shd w:val="clear" w:color="auto" w:fill="D9E2F3"/>
          </w:tcPr>
          <w:p>
            <w:pPr>
              <w:spacing w:line="276" w:lineRule="auto" w:after="0" w:before="0"/>
              <w:jc w:val="left"/>
            </w:pPr>
            <w:r/>
            <w:r>
              <w:rPr>
                <w:rFonts w:ascii="Times New Roman" w:hAnsi="Times New Roman" w:eastAsia="標楷體"/>
                <w:b/>
                <w:sz w:val="22"/>
              </w:rPr>
              <w:t>規格</w:t>
            </w:r>
          </w:p>
        </w:tc>
      </w:tr>
      <w:tr>
        <w:tc>
          <w:tcPr>
            <w:tcW w:type="dxa" w:w="1701"/>
          </w:tcPr>
          <w:p>
            <w:pPr>
              <w:spacing w:line="276" w:lineRule="auto" w:after="0" w:before="0"/>
              <w:jc w:val="left"/>
            </w:pPr>
            <w:r/>
            <w:r>
              <w:rPr>
                <w:rFonts w:ascii="Times New Roman" w:hAnsi="Times New Roman" w:eastAsia="標楷體"/>
                <w:b w:val="0"/>
                <w:sz w:val="22"/>
              </w:rPr>
              <w:t>處理器</w:t>
            </w:r>
          </w:p>
        </w:tc>
        <w:tc>
          <w:tcPr>
            <w:tcW w:type="dxa" w:w="5783"/>
          </w:tcPr>
          <w:p>
            <w:pPr>
              <w:spacing w:line="276" w:lineRule="auto" w:after="0" w:before="0"/>
              <w:jc w:val="left"/>
            </w:pPr>
            <w:r/>
            <w:r>
              <w:rPr>
                <w:rFonts w:ascii="Times New Roman" w:hAnsi="Times New Roman" w:eastAsia="標楷體"/>
                <w:b w:val="0"/>
                <w:sz w:val="22"/>
              </w:rPr>
              <w:t>Intel Xeon Silver 4116 @ 2.10GHz</w:t>
            </w:r>
          </w:p>
        </w:tc>
      </w:tr>
      <w:tr>
        <w:tc>
          <w:tcPr>
            <w:tcW w:type="dxa" w:w="1701"/>
          </w:tcPr>
          <w:p>
            <w:pPr>
              <w:spacing w:line="276" w:lineRule="auto" w:after="0" w:before="0"/>
              <w:jc w:val="left"/>
            </w:pPr>
            <w:r/>
            <w:r>
              <w:rPr>
                <w:rFonts w:ascii="Times New Roman" w:hAnsi="Times New Roman" w:eastAsia="標楷體"/>
                <w:b w:val="0"/>
                <w:sz w:val="22"/>
              </w:rPr>
              <w:t>配置核心</w:t>
            </w:r>
          </w:p>
        </w:tc>
        <w:tc>
          <w:tcPr>
            <w:tcW w:type="dxa" w:w="5783"/>
          </w:tcPr>
          <w:p>
            <w:pPr>
              <w:spacing w:line="276" w:lineRule="auto" w:after="0" w:before="0"/>
              <w:jc w:val="left"/>
            </w:pPr>
            <w:r/>
            <w:r>
              <w:rPr>
                <w:rFonts w:ascii="Times New Roman" w:hAnsi="Times New Roman" w:eastAsia="標楷體"/>
                <w:b w:val="0"/>
                <w:sz w:val="22"/>
              </w:rPr>
              <w:t>2 vCPU</w:t>
            </w:r>
          </w:p>
        </w:tc>
      </w:tr>
      <w:tr>
        <w:tc>
          <w:tcPr>
            <w:tcW w:type="dxa" w:w="1701"/>
          </w:tcPr>
          <w:p>
            <w:pPr>
              <w:spacing w:line="276" w:lineRule="auto" w:after="0" w:before="0"/>
              <w:jc w:val="left"/>
            </w:pPr>
            <w:r/>
            <w:r>
              <w:rPr>
                <w:rFonts w:ascii="Times New Roman" w:hAnsi="Times New Roman" w:eastAsia="標楷體"/>
                <w:b w:val="0"/>
                <w:sz w:val="22"/>
              </w:rPr>
              <w:t>記憶體</w:t>
            </w:r>
          </w:p>
        </w:tc>
        <w:tc>
          <w:tcPr>
            <w:tcW w:type="dxa" w:w="5783"/>
          </w:tcPr>
          <w:p>
            <w:pPr>
              <w:spacing w:line="276" w:lineRule="auto" w:after="0" w:before="0"/>
              <w:jc w:val="left"/>
            </w:pPr>
            <w:r/>
            <w:r>
              <w:rPr>
                <w:rFonts w:ascii="Times New Roman" w:hAnsi="Times New Roman" w:eastAsia="標楷體"/>
                <w:b w:val="0"/>
                <w:sz w:val="22"/>
              </w:rPr>
              <w:t>3.8 GB RAM</w:t>
            </w:r>
          </w:p>
        </w:tc>
      </w:tr>
      <w:tr>
        <w:tc>
          <w:tcPr>
            <w:tcW w:type="dxa" w:w="1701"/>
          </w:tcPr>
          <w:p>
            <w:pPr>
              <w:spacing w:line="276" w:lineRule="auto" w:after="0" w:before="0"/>
              <w:jc w:val="left"/>
            </w:pPr>
            <w:r/>
            <w:r>
              <w:rPr>
                <w:rFonts w:ascii="Times New Roman" w:hAnsi="Times New Roman" w:eastAsia="標楷體"/>
                <w:b w:val="0"/>
                <w:sz w:val="22"/>
              </w:rPr>
              <w:t>置換空間</w:t>
            </w:r>
          </w:p>
        </w:tc>
        <w:tc>
          <w:tcPr>
            <w:tcW w:type="dxa" w:w="5783"/>
          </w:tcPr>
          <w:p>
            <w:pPr>
              <w:spacing w:line="276" w:lineRule="auto" w:after="0" w:before="0"/>
              <w:jc w:val="left"/>
            </w:pPr>
            <w:r/>
            <w:r>
              <w:rPr>
                <w:rFonts w:ascii="Times New Roman" w:hAnsi="Times New Roman" w:eastAsia="標楷體"/>
                <w:b w:val="0"/>
                <w:sz w:val="22"/>
              </w:rPr>
              <w:t>2 GB swap</w:t>
            </w:r>
          </w:p>
        </w:tc>
      </w:tr>
      <w:tr>
        <w:tc>
          <w:tcPr>
            <w:tcW w:type="dxa" w:w="1701"/>
          </w:tcPr>
          <w:p>
            <w:pPr>
              <w:spacing w:line="276" w:lineRule="auto" w:after="0" w:before="0"/>
              <w:jc w:val="left"/>
            </w:pPr>
            <w:r/>
            <w:r>
              <w:rPr>
                <w:rFonts w:ascii="Times New Roman" w:hAnsi="Times New Roman" w:eastAsia="標楷體"/>
                <w:b w:val="0"/>
                <w:sz w:val="22"/>
              </w:rPr>
              <w:t>佔用型態</w:t>
            </w:r>
          </w:p>
        </w:tc>
        <w:tc>
          <w:tcPr>
            <w:tcW w:type="dxa" w:w="5783"/>
          </w:tcPr>
          <w:p>
            <w:pPr>
              <w:spacing w:line="276" w:lineRule="auto" w:after="0" w:before="0"/>
              <w:jc w:val="left"/>
            </w:pPr>
            <w:r/>
            <w:r>
              <w:rPr>
                <w:rFonts w:ascii="Times New Roman" w:hAnsi="Times New Roman" w:eastAsia="標楷體"/>
                <w:b w:val="0"/>
                <w:sz w:val="22"/>
              </w:rPr>
              <w:t>非獨佔，與 dispatch-api / bot / monitor / forecast-engine / web 混跑</w:t>
            </w:r>
          </w:p>
        </w:tc>
      </w:tr>
      <w:tr>
        <w:tc>
          <w:tcPr>
            <w:tcW w:type="dxa" w:w="1701"/>
          </w:tcPr>
          <w:p>
            <w:pPr>
              <w:spacing w:line="276" w:lineRule="auto" w:after="0" w:before="0"/>
              <w:jc w:val="left"/>
            </w:pPr>
            <w:r/>
            <w:r>
              <w:rPr>
                <w:rFonts w:ascii="Times New Roman" w:hAnsi="Times New Roman" w:eastAsia="標楷體"/>
                <w:b w:val="0"/>
                <w:sz w:val="22"/>
              </w:rPr>
              <w:t>對外網域</w:t>
            </w:r>
          </w:p>
        </w:tc>
        <w:tc>
          <w:tcPr>
            <w:tcW w:type="dxa" w:w="5783"/>
          </w:tcPr>
          <w:p>
            <w:pPr>
              <w:spacing w:line="276" w:lineRule="auto" w:after="0" w:before="0"/>
              <w:jc w:val="left"/>
            </w:pPr>
            <w:r/>
            <w:r>
              <w:rPr>
                <w:rFonts w:ascii="Times New Roman" w:hAnsi="Times New Roman" w:eastAsia="標楷體"/>
                <w:b w:val="0"/>
                <w:sz w:val="22"/>
              </w:rPr>
              <w:t>dev-acer-cleaning-api.jini.tw</w:t>
            </w:r>
          </w:p>
        </w:tc>
      </w:tr>
    </w:tbl>
    <w:p/>
    <w:p>
      <w:pPr>
        <w:spacing w:line="276" w:lineRule="auto" w:after="120" w:before="160"/>
        <w:jc w:val="left"/>
      </w:pPr>
      <w:r>
        <w:rPr>
          <w:rFonts w:ascii="Times New Roman" w:hAnsi="Times New Roman" w:eastAsia="標楷體"/>
          <w:b/>
          <w:sz w:val="28"/>
        </w:rPr>
        <w:t>二、測試工具</w:t>
      </w:r>
    </w:p>
    <w:tbl>
      <w:tblPr>
        <w:tblStyle w:val="TableGrid"/>
        <w:tblW w:type="auto" w:w="0"/>
        <w:jc w:val="center"/>
        <w:tblLook w:firstColumn="1" w:firstRow="1" w:lastColumn="0" w:lastRow="0" w:noHBand="0" w:noVBand="1" w:val="04A0"/>
      </w:tblPr>
      <w:tblGrid>
        <w:gridCol w:w="4320"/>
        <w:gridCol w:w="4320"/>
      </w:tblGrid>
      <w:tr>
        <w:tc>
          <w:tcPr>
            <w:tcW w:type="dxa" w:w="1928"/>
            <w:shd w:val="clear" w:color="auto" w:fill="D9E2F3"/>
          </w:tcPr>
          <w:p>
            <w:pPr>
              <w:spacing w:line="276" w:lineRule="auto" w:after="0" w:before="0"/>
              <w:jc w:val="left"/>
            </w:pPr>
            <w:r/>
            <w:r>
              <w:rPr>
                <w:rFonts w:ascii="Times New Roman" w:hAnsi="Times New Roman" w:eastAsia="標楷體"/>
                <w:b/>
                <w:sz w:val="22"/>
              </w:rPr>
              <w:t>工具</w:t>
            </w:r>
          </w:p>
        </w:tc>
        <w:tc>
          <w:tcPr>
            <w:tcW w:type="dxa" w:w="5556"/>
            <w:shd w:val="clear" w:color="auto" w:fill="D9E2F3"/>
          </w:tcPr>
          <w:p>
            <w:pPr>
              <w:spacing w:line="276" w:lineRule="auto" w:after="0" w:before="0"/>
              <w:jc w:val="left"/>
            </w:pPr>
            <w:r/>
            <w:r>
              <w:rPr>
                <w:rFonts w:ascii="Times New Roman" w:hAnsi="Times New Roman" w:eastAsia="標楷體"/>
                <w:b/>
                <w:sz w:val="22"/>
              </w:rPr>
              <w:t>用途</w:t>
            </w:r>
          </w:p>
        </w:tc>
      </w:tr>
      <w:tr>
        <w:tc>
          <w:tcPr>
            <w:tcW w:type="dxa" w:w="1928"/>
          </w:tcPr>
          <w:p>
            <w:pPr>
              <w:spacing w:line="276" w:lineRule="auto" w:after="0" w:before="0"/>
              <w:jc w:val="left"/>
            </w:pPr>
            <w:r/>
            <w:r>
              <w:rPr>
                <w:rFonts w:ascii="Times New Roman" w:hAnsi="Times New Roman" w:eastAsia="標楷體"/>
                <w:b w:val="0"/>
                <w:sz w:val="22"/>
              </w:rPr>
              <w:t>Jest</w:t>
            </w:r>
          </w:p>
        </w:tc>
        <w:tc>
          <w:tcPr>
            <w:tcW w:type="dxa" w:w="5556"/>
          </w:tcPr>
          <w:p>
            <w:pPr>
              <w:spacing w:line="276" w:lineRule="auto" w:after="0" w:before="0"/>
              <w:jc w:val="left"/>
            </w:pPr>
            <w:r/>
            <w:r>
              <w:rPr>
                <w:rFonts w:ascii="Times New Roman" w:hAnsi="Times New Roman" w:eastAsia="標楷體"/>
                <w:b w:val="0"/>
                <w:sz w:val="22"/>
              </w:rPr>
              <w:t>後端服務與控制器之單元／整合測試（以 mock Prisma 隔離資料庫）</w:t>
            </w:r>
          </w:p>
        </w:tc>
      </w:tr>
      <w:tr>
        <w:tc>
          <w:tcPr>
            <w:tcW w:type="dxa" w:w="1928"/>
          </w:tcPr>
          <w:p>
            <w:pPr>
              <w:spacing w:line="276" w:lineRule="auto" w:after="0" w:before="0"/>
              <w:jc w:val="left"/>
            </w:pPr>
            <w:r/>
            <w:r>
              <w:rPr>
                <w:rFonts w:ascii="Times New Roman" w:hAnsi="Times New Roman" w:eastAsia="標楷體"/>
                <w:b w:val="0"/>
                <w:sz w:val="22"/>
              </w:rPr>
              <w:t>Playwright</w:t>
            </w:r>
          </w:p>
        </w:tc>
        <w:tc>
          <w:tcPr>
            <w:tcW w:type="dxa" w:w="5556"/>
          </w:tcPr>
          <w:p>
            <w:pPr>
              <w:spacing w:line="276" w:lineRule="auto" w:after="0" w:before="0"/>
              <w:jc w:val="left"/>
            </w:pPr>
            <w:r/>
            <w:r>
              <w:rPr>
                <w:rFonts w:ascii="Times New Roman" w:hAnsi="Times New Roman" w:eastAsia="標楷體"/>
                <w:b w:val="0"/>
                <w:sz w:val="22"/>
              </w:rPr>
              <w:t>端到端（e2e）情境模擬與使用者驗收測試</w:t>
            </w:r>
          </w:p>
        </w:tc>
      </w:tr>
      <w:tr>
        <w:tc>
          <w:tcPr>
            <w:tcW w:type="dxa" w:w="1928"/>
          </w:tcPr>
          <w:p>
            <w:pPr>
              <w:spacing w:line="276" w:lineRule="auto" w:after="0" w:before="0"/>
              <w:jc w:val="left"/>
            </w:pPr>
            <w:r/>
            <w:r>
              <w:rPr>
                <w:rFonts w:ascii="Times New Roman" w:hAnsi="Times New Roman" w:eastAsia="標楷體"/>
                <w:b w:val="0"/>
                <w:sz w:val="22"/>
              </w:rPr>
              <w:t>autocannon@8</w:t>
            </w:r>
          </w:p>
        </w:tc>
        <w:tc>
          <w:tcPr>
            <w:tcW w:type="dxa" w:w="5556"/>
          </w:tcPr>
          <w:p>
            <w:pPr>
              <w:spacing w:line="276" w:lineRule="auto" w:after="0" w:before="0"/>
              <w:jc w:val="left"/>
            </w:pPr>
            <w:r/>
            <w:r>
              <w:rPr>
                <w:rFonts w:ascii="Times New Roman" w:hAnsi="Times New Roman" w:eastAsia="標楷體"/>
                <w:b w:val="0"/>
                <w:sz w:val="22"/>
              </w:rPr>
              <w:t>併發壓力測試與回應時間量測工具（模擬多名使用者同時連線）</w:t>
            </w:r>
          </w:p>
        </w:tc>
      </w:tr>
      <w:tr>
        <w:tc>
          <w:tcPr>
            <w:tcW w:type="dxa" w:w="1928"/>
          </w:tcPr>
          <w:p>
            <w:pPr>
              <w:spacing w:line="276" w:lineRule="auto" w:after="0" w:before="0"/>
              <w:jc w:val="left"/>
            </w:pPr>
            <w:r/>
            <w:r>
              <w:rPr>
                <w:rFonts w:ascii="Times New Roman" w:hAnsi="Times New Roman" w:eastAsia="標楷體"/>
                <w:b w:val="0"/>
                <w:sz w:val="22"/>
              </w:rPr>
              <w:t>專案稽核腳本</w:t>
            </w:r>
          </w:p>
        </w:tc>
        <w:tc>
          <w:tcPr>
            <w:tcW w:type="dxa" w:w="5556"/>
          </w:tcPr>
          <w:p>
            <w:pPr>
              <w:spacing w:line="276" w:lineRule="auto" w:after="0" w:before="0"/>
              <w:jc w:val="left"/>
            </w:pPr>
            <w:r/>
            <w:r>
              <w:rPr>
                <w:rFonts w:ascii="Times New Roman" w:hAnsi="Times New Roman" w:eastAsia="標楷體"/>
                <w:b w:val="0"/>
                <w:sz w:val="22"/>
              </w:rPr>
              <w:t>schema-drift／status-nullsafe／pg-traps 等純檔案掃描稽核</w:t>
            </w:r>
          </w:p>
        </w:tc>
      </w:tr>
    </w:tbl>
    <w:p/>
    <w:p>
      <w:pPr>
        <w:spacing w:line="276" w:lineRule="auto" w:after="120" w:before="160"/>
        <w:jc w:val="left"/>
      </w:pPr>
      <w:r>
        <w:rPr>
          <w:rFonts w:ascii="Times New Roman" w:hAnsi="Times New Roman" w:eastAsia="標楷體"/>
          <w:b/>
          <w:sz w:val="28"/>
        </w:rPr>
        <w:t>三、測試帳號機制</w:t>
      </w:r>
    </w:p>
    <w:p>
      <w:pPr>
        <w:spacing w:line="276" w:lineRule="auto" w:after="120" w:before="0"/>
        <w:ind w:firstLine="480"/>
        <w:jc w:val="both"/>
      </w:pPr>
      <w:r>
        <w:rPr>
          <w:rFonts w:ascii="Times New Roman" w:hAnsi="Times New Roman" w:eastAsia="標楷體"/>
          <w:b w:val="0"/>
          <w:sz w:val="24"/>
        </w:rPr>
        <w:t>併發壓測使用專用壓測帳號 loadtest01（一般使用者權限，純讀不寫），僅打唯讀查詢端點，刻意不觸及任何寫入端點，以免污染 dev 環境之營運資料。整合測試則以 mock 資料與測試租戶執行，與正式資料完全隔離。營運指標統計亦設有測試場域排除機制，以特定建立者標記識別測試站，避免測試資料混入營運數據。</w:t>
      </w:r>
    </w:p>
    <w:p>
      <w:pPr>
        <w:spacing w:line="276" w:lineRule="auto" w:after="120" w:before="160"/>
        <w:jc w:val="left"/>
      </w:pPr>
      <w:r>
        <w:rPr>
          <w:rFonts w:ascii="Times New Roman" w:hAnsi="Times New Roman" w:eastAsia="標楷體"/>
          <w:b/>
          <w:sz w:val="28"/>
        </w:rPr>
        <w:t>四、四類測試方法定義</w:t>
      </w:r>
    </w:p>
    <w:p>
      <w:pPr>
        <w:spacing w:line="276" w:lineRule="auto" w:after="120" w:before="0"/>
        <w:ind w:firstLine="480"/>
        <w:jc w:val="both"/>
      </w:pPr>
      <w:r>
        <w:rPr>
          <w:rFonts w:ascii="Times New Roman" w:hAnsi="Times New Roman" w:eastAsia="標楷體"/>
          <w:b w:val="0"/>
          <w:sz w:val="24"/>
        </w:rPr>
        <w:t>本報告第肆至玖章之各模組，均依下列四類測試方法逐一檢驗。四類測試由「元件邏輯」而「資料串接」而「端到端情境」而「使用者驗收」，層層外擴，共同構成對各模組之完整驗證。</w:t>
      </w:r>
    </w:p>
    <w:tbl>
      <w:tblPr>
        <w:tblStyle w:val="TableGrid"/>
        <w:tblW w:type="auto" w:w="0"/>
        <w:jc w:val="center"/>
        <w:tblLook w:firstColumn="1" w:firstRow="1" w:lastColumn="0" w:lastRow="0" w:noHBand="0" w:noVBand="1" w:val="04A0"/>
      </w:tblPr>
      <w:tblGrid>
        <w:gridCol w:w="2880"/>
        <w:gridCol w:w="2880"/>
        <w:gridCol w:w="2880"/>
      </w:tblGrid>
      <w:tr>
        <w:tc>
          <w:tcPr>
            <w:tcW w:type="dxa" w:w="1644"/>
            <w:shd w:val="clear" w:color="auto" w:fill="D9E2F3"/>
          </w:tcPr>
          <w:p>
            <w:pPr>
              <w:spacing w:line="276" w:lineRule="auto" w:after="0" w:before="0"/>
              <w:jc w:val="left"/>
            </w:pPr>
            <w:r/>
            <w:r>
              <w:rPr>
                <w:rFonts w:ascii="Times New Roman" w:hAnsi="Times New Roman" w:eastAsia="標楷體"/>
                <w:b/>
                <w:sz w:val="22"/>
              </w:rPr>
              <w:t>測試類別</w:t>
            </w:r>
          </w:p>
        </w:tc>
        <w:tc>
          <w:tcPr>
            <w:tcW w:type="dxa" w:w="4139"/>
            <w:shd w:val="clear" w:color="auto" w:fill="D9E2F3"/>
          </w:tcPr>
          <w:p>
            <w:pPr>
              <w:spacing w:line="276" w:lineRule="auto" w:after="0" w:before="0"/>
              <w:jc w:val="left"/>
            </w:pPr>
            <w:r/>
            <w:r>
              <w:rPr>
                <w:rFonts w:ascii="Times New Roman" w:hAnsi="Times New Roman" w:eastAsia="標楷體"/>
                <w:b/>
                <w:sz w:val="22"/>
              </w:rPr>
              <w:t>定義</w:t>
            </w:r>
          </w:p>
        </w:tc>
        <w:tc>
          <w:tcPr>
            <w:tcW w:type="dxa" w:w="1701"/>
            <w:shd w:val="clear" w:color="auto" w:fill="D9E2F3"/>
          </w:tcPr>
          <w:p>
            <w:pPr>
              <w:spacing w:line="276" w:lineRule="auto" w:after="0" w:before="0"/>
              <w:jc w:val="left"/>
            </w:pPr>
            <w:r/>
            <w:r>
              <w:rPr>
                <w:rFonts w:ascii="Times New Roman" w:hAnsi="Times New Roman" w:eastAsia="標楷體"/>
                <w:b/>
                <w:sz w:val="22"/>
              </w:rPr>
              <w:t>主要工具／依據</w:t>
            </w:r>
          </w:p>
        </w:tc>
      </w:tr>
      <w:tr>
        <w:tc>
          <w:tcPr>
            <w:tcW w:type="dxa" w:w="1644"/>
          </w:tcPr>
          <w:p>
            <w:pPr>
              <w:spacing w:line="276" w:lineRule="auto" w:after="0" w:before="0"/>
              <w:jc w:val="left"/>
            </w:pPr>
            <w:r/>
            <w:r>
              <w:rPr>
                <w:rFonts w:ascii="Times New Roman" w:hAnsi="Times New Roman" w:eastAsia="標楷體"/>
                <w:b w:val="0"/>
                <w:sz w:val="22"/>
              </w:rPr>
              <w:t>（一）系統整合測試</w:t>
            </w:r>
          </w:p>
        </w:tc>
        <w:tc>
          <w:tcPr>
            <w:tcW w:type="dxa" w:w="4139"/>
          </w:tcPr>
          <w:p>
            <w:pPr>
              <w:spacing w:line="276" w:lineRule="auto" w:after="0" w:before="0"/>
              <w:jc w:val="left"/>
            </w:pPr>
            <w:r/>
            <w:r>
              <w:rPr>
                <w:rFonts w:ascii="Times New Roman" w:hAnsi="Times New Roman" w:eastAsia="標楷體"/>
                <w:b w:val="0"/>
                <w:sz w:val="22"/>
              </w:rPr>
              <w:t>驗證後端服務與控制器之邏輯正確性，涵蓋演算公式、分級門檻、狀態轉換等，以 mock Prisma 隔離資料庫。</w:t>
            </w:r>
          </w:p>
        </w:tc>
        <w:tc>
          <w:tcPr>
            <w:tcW w:type="dxa" w:w="1701"/>
          </w:tcPr>
          <w:p>
            <w:pPr>
              <w:spacing w:line="276" w:lineRule="auto" w:after="0" w:before="0"/>
              <w:jc w:val="left"/>
            </w:pPr>
            <w:r/>
            <w:r>
              <w:rPr>
                <w:rFonts w:ascii="Times New Roman" w:hAnsi="Times New Roman" w:eastAsia="標楷體"/>
                <w:b w:val="0"/>
                <w:sz w:val="22"/>
              </w:rPr>
              <w:t>130 支 Jest 服務／控制器整合測試</w:t>
            </w:r>
          </w:p>
        </w:tc>
      </w:tr>
      <w:tr>
        <w:tc>
          <w:tcPr>
            <w:tcW w:type="dxa" w:w="1644"/>
          </w:tcPr>
          <w:p>
            <w:pPr>
              <w:spacing w:line="276" w:lineRule="auto" w:after="0" w:before="0"/>
              <w:jc w:val="left"/>
            </w:pPr>
            <w:r/>
            <w:r>
              <w:rPr>
                <w:rFonts w:ascii="Times New Roman" w:hAnsi="Times New Roman" w:eastAsia="標楷體"/>
                <w:b w:val="0"/>
                <w:sz w:val="22"/>
              </w:rPr>
              <w:t>（二）資料串接測試</w:t>
            </w:r>
          </w:p>
        </w:tc>
        <w:tc>
          <w:tcPr>
            <w:tcW w:type="dxa" w:w="4139"/>
          </w:tcPr>
          <w:p>
            <w:pPr>
              <w:spacing w:line="276" w:lineRule="auto" w:after="0" w:before="0"/>
              <w:jc w:val="left"/>
            </w:pPr>
            <w:r/>
            <w:r>
              <w:rPr>
                <w:rFonts w:ascii="Times New Roman" w:hAnsi="Times New Roman" w:eastAsia="標楷體"/>
                <w:b w:val="0"/>
                <w:sz w:val="22"/>
              </w:rPr>
              <w:t>驗證新舊資料表結構一致性、雙語系 SQL 雙寫、NULL 三值邏輯安全與資料留痕，確保資料層無漂移、無隱性遺漏。</w:t>
            </w:r>
          </w:p>
        </w:tc>
        <w:tc>
          <w:tcPr>
            <w:tcW w:type="dxa" w:w="1701"/>
          </w:tcPr>
          <w:p>
            <w:pPr>
              <w:spacing w:line="276" w:lineRule="auto" w:after="0" w:before="0"/>
              <w:jc w:val="left"/>
            </w:pPr>
            <w:r/>
            <w:r>
              <w:rPr>
                <w:rFonts w:ascii="Times New Roman" w:hAnsi="Times New Roman" w:eastAsia="標楷體"/>
                <w:b w:val="0"/>
                <w:sz w:val="22"/>
              </w:rPr>
              <w:t>schema-drift／status-nullsafe／db-dialect／pg-traps 稽核</w:t>
            </w:r>
          </w:p>
        </w:tc>
      </w:tr>
      <w:tr>
        <w:tc>
          <w:tcPr>
            <w:tcW w:type="dxa" w:w="1644"/>
          </w:tcPr>
          <w:p>
            <w:pPr>
              <w:spacing w:line="276" w:lineRule="auto" w:after="0" w:before="0"/>
              <w:jc w:val="left"/>
            </w:pPr>
            <w:r/>
            <w:r>
              <w:rPr>
                <w:rFonts w:ascii="Times New Roman" w:hAnsi="Times New Roman" w:eastAsia="標楷體"/>
                <w:b w:val="0"/>
                <w:sz w:val="22"/>
              </w:rPr>
              <w:t>（三）情境模擬測試</w:t>
            </w:r>
          </w:p>
        </w:tc>
        <w:tc>
          <w:tcPr>
            <w:tcW w:type="dxa" w:w="4139"/>
          </w:tcPr>
          <w:p>
            <w:pPr>
              <w:spacing w:line="276" w:lineRule="auto" w:after="0" w:before="0"/>
              <w:jc w:val="left"/>
            </w:pPr>
            <w:r/>
            <w:r>
              <w:rPr>
                <w:rFonts w:ascii="Times New Roman" w:hAnsi="Times New Roman" w:eastAsia="標楷體"/>
                <w:b w:val="0"/>
                <w:sz w:val="22"/>
              </w:rPr>
              <w:t>以端到端流程模擬真實使用情境，涵蓋登入、樂觀鎖、跨租戶隔離、角色權限、月節奏與跨頁流程。</w:t>
            </w:r>
          </w:p>
        </w:tc>
        <w:tc>
          <w:tcPr>
            <w:tcW w:type="dxa" w:w="1701"/>
          </w:tcPr>
          <w:p>
            <w:pPr>
              <w:spacing w:line="276" w:lineRule="auto" w:after="0" w:before="0"/>
              <w:jc w:val="left"/>
            </w:pPr>
            <w:r/>
            <w:r>
              <w:rPr>
                <w:rFonts w:ascii="Times New Roman" w:hAnsi="Times New Roman" w:eastAsia="標楷體"/>
                <w:b w:val="0"/>
                <w:sz w:val="22"/>
              </w:rPr>
              <w:t>26 支 Playwright e2e、213 案例</w:t>
            </w:r>
          </w:p>
        </w:tc>
      </w:tr>
      <w:tr>
        <w:tc>
          <w:tcPr>
            <w:tcW w:type="dxa" w:w="1644"/>
          </w:tcPr>
          <w:p>
            <w:pPr>
              <w:spacing w:line="276" w:lineRule="auto" w:after="0" w:before="0"/>
              <w:jc w:val="left"/>
            </w:pPr>
            <w:r/>
            <w:r>
              <w:rPr>
                <w:rFonts w:ascii="Times New Roman" w:hAnsi="Times New Roman" w:eastAsia="標楷體"/>
                <w:b w:val="0"/>
                <w:sz w:val="22"/>
              </w:rPr>
              <w:t>（四）使用者驗證測試</w:t>
            </w:r>
          </w:p>
        </w:tc>
        <w:tc>
          <w:tcPr>
            <w:tcW w:type="dxa" w:w="4139"/>
          </w:tcPr>
          <w:p>
            <w:pPr>
              <w:spacing w:line="276" w:lineRule="auto" w:after="0" w:before="0"/>
              <w:jc w:val="left"/>
            </w:pPr>
            <w:r/>
            <w:r>
              <w:rPr>
                <w:rFonts w:ascii="Times New Roman" w:hAnsi="Times New Roman" w:eastAsia="標楷體"/>
                <w:b w:val="0"/>
                <w:sz w:val="22"/>
              </w:rPr>
              <w:t>以唯讀驗收案例與全頁面煙霧測試（逐頁快速巡檢，確認各頁面均可正常開啟、無明顯錯誤）模擬使用者操作，並對照驗收與上線整備之文件檢查清單。</w:t>
            </w:r>
          </w:p>
        </w:tc>
        <w:tc>
          <w:tcPr>
            <w:tcW w:type="dxa" w:w="1701"/>
          </w:tcPr>
          <w:p>
            <w:pPr>
              <w:spacing w:line="276" w:lineRule="auto" w:after="0" w:before="0"/>
              <w:jc w:val="left"/>
            </w:pPr>
            <w:r/>
            <w:r>
              <w:rPr>
                <w:rFonts w:ascii="Times New Roman" w:hAnsi="Times New Roman" w:eastAsia="標楷體"/>
                <w:b w:val="0"/>
                <w:sz w:val="22"/>
              </w:rPr>
              <w:t>e2e 驗收案例 + 專案驗收 checklist</w:t>
            </w:r>
          </w:p>
        </w:tc>
      </w:tr>
    </w:tbl>
    <w:p/>
    <w:p>
      <w:r>
        <w:br w:type="page"/>
      </w:r>
    </w:p>
    <w:p>
      <w:pPr>
        <w:spacing w:line="276" w:lineRule="auto" w:after="160" w:before="280"/>
        <w:jc w:val="left"/>
      </w:pPr>
      <w:r>
        <w:rPr>
          <w:rFonts w:ascii="Times New Roman" w:hAnsi="Times New Roman" w:eastAsia="標楷體"/>
          <w:b/>
          <w:color w:val="1F3A5F"/>
          <w:sz w:val="28"/>
        </w:rPr>
        <w:t>參、驗收指標總覽</w:t>
      </w:r>
    </w:p>
    <w:p>
      <w:pPr>
        <w:spacing w:line="276" w:lineRule="auto" w:after="120" w:before="0"/>
        <w:ind w:firstLine="480"/>
        <w:jc w:val="both"/>
      </w:pPr>
      <w:r>
        <w:rPr>
          <w:rFonts w:ascii="Times New Roman" w:hAnsi="Times New Roman" w:eastAsia="標楷體"/>
          <w:b w:val="0"/>
          <w:sz w:val="24"/>
        </w:rPr>
        <w:t>本計畫承諾之四項驗收指標，經實機測試後全數達標，總覽如下表。各指標之詳細測試方法與逐項數據，分別見第肆至玖章（指標一、二）與第拾章（指標三、四）。</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7"/>
            <w:shd w:val="clear" w:color="auto" w:fill="D9E2F3"/>
          </w:tcPr>
          <w:p>
            <w:pPr>
              <w:spacing w:line="276" w:lineRule="auto" w:after="0" w:before="0"/>
              <w:jc w:val="left"/>
            </w:pPr>
            <w:r/>
            <w:r>
              <w:rPr>
                <w:rFonts w:ascii="Times New Roman" w:hAnsi="Times New Roman" w:eastAsia="標楷體"/>
                <w:b/>
                <w:sz w:val="22"/>
              </w:rPr>
              <w:t>驗收指標</w:t>
            </w:r>
          </w:p>
        </w:tc>
        <w:tc>
          <w:tcPr>
            <w:tcW w:type="dxa" w:w="1020"/>
            <w:shd w:val="clear" w:color="auto" w:fill="D9E2F3"/>
          </w:tcPr>
          <w:p>
            <w:pPr>
              <w:spacing w:line="276" w:lineRule="auto" w:after="0" w:before="0"/>
              <w:jc w:val="left"/>
            </w:pPr>
            <w:r/>
            <w:r>
              <w:rPr>
                <w:rFonts w:ascii="Times New Roman" w:hAnsi="Times New Roman" w:eastAsia="標楷體"/>
                <w:b/>
                <w:sz w:val="22"/>
              </w:rPr>
              <w:t>目標值</w:t>
            </w:r>
          </w:p>
        </w:tc>
        <w:tc>
          <w:tcPr>
            <w:tcW w:type="dxa" w:w="4082"/>
            <w:shd w:val="clear" w:color="auto" w:fill="D9E2F3"/>
          </w:tcPr>
          <w:p>
            <w:pPr>
              <w:spacing w:line="276" w:lineRule="auto" w:after="0" w:before="0"/>
              <w:jc w:val="left"/>
            </w:pPr>
            <w:r/>
            <w:r>
              <w:rPr>
                <w:rFonts w:ascii="Times New Roman" w:hAnsi="Times New Roman" w:eastAsia="標楷體"/>
                <w:b/>
                <w:sz w:val="22"/>
              </w:rPr>
              <w:t>實測結果</w:t>
            </w:r>
          </w:p>
        </w:tc>
        <w:tc>
          <w:tcPr>
            <w:tcW w:type="dxa" w:w="794"/>
            <w:shd w:val="clear" w:color="auto" w:fill="D9E2F3"/>
          </w:tcPr>
          <w:p>
            <w:pPr>
              <w:spacing w:line="276" w:lineRule="auto" w:after="0" w:before="0"/>
              <w:jc w:val="left"/>
            </w:pPr>
            <w:r/>
            <w:r>
              <w:rPr>
                <w:rFonts w:ascii="Times New Roman" w:hAnsi="Times New Roman" w:eastAsia="標楷體"/>
                <w:b/>
                <w:sz w:val="22"/>
              </w:rPr>
              <w:t>達標</w:t>
            </w:r>
          </w:p>
        </w:tc>
      </w:tr>
      <w:tr>
        <w:tc>
          <w:tcPr>
            <w:tcW w:type="dxa" w:w="1587"/>
          </w:tcPr>
          <w:p>
            <w:pPr>
              <w:spacing w:line="276" w:lineRule="auto" w:after="0" w:before="0"/>
              <w:jc w:val="left"/>
            </w:pPr>
            <w:r/>
            <w:r>
              <w:rPr>
                <w:rFonts w:ascii="Times New Roman" w:hAnsi="Times New Roman" w:eastAsia="標楷體"/>
                <w:b w:val="0"/>
                <w:sz w:val="22"/>
              </w:rPr>
              <w:t>功能測試通過率</w:t>
            </w:r>
          </w:p>
        </w:tc>
        <w:tc>
          <w:tcPr>
            <w:tcW w:type="dxa" w:w="1020"/>
          </w:tcPr>
          <w:p>
            <w:pPr>
              <w:spacing w:line="276" w:lineRule="auto" w:after="0" w:before="0"/>
              <w:jc w:val="left"/>
            </w:pPr>
            <w:r/>
            <w:r>
              <w:rPr>
                <w:rFonts w:ascii="Times New Roman" w:hAnsi="Times New Roman" w:eastAsia="標楷體"/>
                <w:b w:val="0"/>
                <w:sz w:val="22"/>
              </w:rPr>
              <w:t>≥ 80%</w:t>
            </w:r>
          </w:p>
        </w:tc>
        <w:tc>
          <w:tcPr>
            <w:tcW w:type="dxa" w:w="4082"/>
          </w:tcPr>
          <w:p>
            <w:pPr>
              <w:spacing w:line="276" w:lineRule="auto" w:after="0" w:before="0"/>
              <w:jc w:val="left"/>
            </w:pPr>
            <w:r/>
            <w:r>
              <w:rPr>
                <w:rFonts w:ascii="Times New Roman" w:hAnsi="Times New Roman" w:eastAsia="標楷體"/>
                <w:b w:val="0"/>
                <w:sz w:val="22"/>
              </w:rPr>
              <w:t>100%（1740 / 1741 案例通過，0 失敗，1 略過）</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資料正確率</w:t>
            </w:r>
          </w:p>
        </w:tc>
        <w:tc>
          <w:tcPr>
            <w:tcW w:type="dxa" w:w="1020"/>
          </w:tcPr>
          <w:p>
            <w:pPr>
              <w:spacing w:line="276" w:lineRule="auto" w:after="0" w:before="0"/>
              <w:jc w:val="left"/>
            </w:pPr>
            <w:r/>
            <w:r>
              <w:rPr>
                <w:rFonts w:ascii="Times New Roman" w:hAnsi="Times New Roman" w:eastAsia="標楷體"/>
                <w:b w:val="0"/>
                <w:sz w:val="22"/>
              </w:rPr>
              <w:t>≥ 95%</w:t>
            </w:r>
          </w:p>
        </w:tc>
        <w:tc>
          <w:tcPr>
            <w:tcW w:type="dxa" w:w="4082"/>
          </w:tcPr>
          <w:p>
            <w:pPr>
              <w:spacing w:line="276" w:lineRule="auto" w:after="0" w:before="0"/>
              <w:jc w:val="left"/>
            </w:pPr>
            <w:r/>
            <w:r>
              <w:rPr>
                <w:rFonts w:ascii="Times New Roman" w:hAnsi="Times New Roman" w:eastAsia="標楷體"/>
                <w:b w:val="0"/>
                <w:sz w:val="22"/>
              </w:rPr>
              <w:t>五項稽核 100% 乾淨（含 105 張共享舊表 0 drift）</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同時支援人數</w:t>
            </w:r>
          </w:p>
        </w:tc>
        <w:tc>
          <w:tcPr>
            <w:tcW w:type="dxa" w:w="1020"/>
          </w:tcPr>
          <w:p>
            <w:pPr>
              <w:spacing w:line="276" w:lineRule="auto" w:after="0" w:before="0"/>
              <w:jc w:val="left"/>
            </w:pPr>
            <w:r/>
            <w:r>
              <w:rPr>
                <w:rFonts w:ascii="Times New Roman" w:hAnsi="Times New Roman" w:eastAsia="標楷體"/>
                <w:b w:val="0"/>
                <w:sz w:val="22"/>
              </w:rPr>
              <w:t>≥ 50 人</w:t>
            </w:r>
          </w:p>
        </w:tc>
        <w:tc>
          <w:tcPr>
            <w:tcW w:type="dxa" w:w="4082"/>
          </w:tcPr>
          <w:p>
            <w:pPr>
              <w:spacing w:line="276" w:lineRule="auto" w:after="0" w:before="0"/>
              <w:jc w:val="left"/>
            </w:pPr>
            <w:r/>
            <w:r>
              <w:rPr>
                <w:rFonts w:ascii="Times New Roman" w:hAnsi="Times New Roman" w:eastAsia="標楷體"/>
                <w:b w:val="0"/>
                <w:sz w:val="22"/>
              </w:rPr>
              <w:t>50 併發 100% 通過、0 錯誤 0 逾時</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回應時間</w:t>
            </w:r>
          </w:p>
        </w:tc>
        <w:tc>
          <w:tcPr>
            <w:tcW w:type="dxa" w:w="1020"/>
          </w:tcPr>
          <w:p>
            <w:pPr>
              <w:spacing w:line="276" w:lineRule="auto" w:after="0" w:before="0"/>
              <w:jc w:val="left"/>
            </w:pPr>
            <w:r/>
            <w:r>
              <w:rPr>
                <w:rFonts w:ascii="Times New Roman" w:hAnsi="Times New Roman" w:eastAsia="標楷體"/>
                <w:b w:val="0"/>
                <w:sz w:val="22"/>
              </w:rPr>
              <w:t>≤ 5 秒</w:t>
            </w:r>
          </w:p>
        </w:tc>
        <w:tc>
          <w:tcPr>
            <w:tcW w:type="dxa" w:w="4082"/>
          </w:tcPr>
          <w:p>
            <w:pPr>
              <w:spacing w:line="276" w:lineRule="auto" w:after="0" w:before="0"/>
              <w:jc w:val="left"/>
            </w:pPr>
            <w:r/>
            <w:r>
              <w:rPr>
                <w:rFonts w:ascii="Times New Roman" w:hAnsi="Times New Roman" w:eastAsia="標楷體"/>
                <w:b w:val="0"/>
                <w:sz w:val="22"/>
              </w:rPr>
              <w:t>最大回應 2.65 秒</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bl>
    <w:p/>
    <w:p>
      <w:pPr>
        <w:spacing w:line="276" w:lineRule="auto" w:after="120" w:before="0"/>
        <w:ind w:firstLine="480"/>
        <w:jc w:val="both"/>
      </w:pPr>
      <w:r>
        <w:rPr>
          <w:rFonts w:ascii="Times New Roman" w:hAnsi="Times New Roman" w:eastAsia="標楷體"/>
          <w:b w:val="0"/>
          <w:sz w:val="24"/>
        </w:rPr>
        <w:t>四項指標之達標判定係以最嚴苛之條件認定：通過率以「零失敗」為準、資料正確率以「零漂移零違規」為準、併發以「零錯誤零逾時」為準、回應時間以「最大值」而非平均值為準。即便如此，四項仍全數優於目標門檻。</w:t>
      </w:r>
    </w:p>
    <w:p>
      <w:r>
        <w:br w:type="page"/>
      </w:r>
    </w:p>
    <w:p>
      <w:pPr>
        <w:spacing w:line="276" w:lineRule="auto" w:after="160" w:before="280"/>
        <w:jc w:val="left"/>
      </w:pPr>
      <w:r>
        <w:rPr>
          <w:rFonts w:ascii="Times New Roman" w:hAnsi="Times New Roman" w:eastAsia="標楷體"/>
          <w:b/>
          <w:color w:val="1F3A5F"/>
          <w:sz w:val="28"/>
        </w:rPr>
        <w:t>肆、需求預測模組測試</w:t>
      </w:r>
    </w:p>
    <w:p>
      <w:pPr>
        <w:spacing w:line="276" w:lineRule="auto" w:after="120" w:before="0"/>
        <w:ind w:firstLine="480"/>
        <w:jc w:val="both"/>
      </w:pPr>
      <w:r>
        <w:rPr>
          <w:rFonts w:ascii="Times New Roman" w:hAnsi="Times New Roman" w:eastAsia="標楷體"/>
          <w:b w:val="0"/>
          <w:sz w:val="24"/>
        </w:rPr>
        <w:t>需求預測模組為每一組「場域 × 品項」推估次月需求量，作為月訂貨草稿之建議值。演算採「基準量 ×（1＋品項因子）×（1＋活動百分比 × 品項敏感度）」之可解釋公式，基準量由獨立之預測引擎依近期用量集成，並以規律性判定決定品項是否納入自動草稿。</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整合測試驗證預測服務與控制器之核心邏輯，涵蓋基準量集成、品項因子與活動敏感度之套用、以及「場域 × 品項」規律性判定（常態／混合納入草稿、間歇不納入草稿）。</w:t>
      </w:r>
    </w:p>
    <w:p>
      <w:pPr>
        <w:pStyle w:val="ListBullet"/>
        <w:spacing w:line="276" w:lineRule="auto" w:after="120" w:before="0"/>
        <w:jc w:val="both"/>
      </w:pPr>
      <w:r>
        <w:rPr>
          <w:rFonts w:ascii="Times New Roman" w:hAnsi="Times New Roman" w:eastAsia="標楷體"/>
          <w:b/>
          <w:sz w:val="24"/>
        </w:rPr>
        <w:t>建議量公式</w:t>
      </w:r>
      <w:r>
        <w:rPr>
          <w:rFonts w:ascii="Times New Roman" w:hAnsi="Times New Roman" w:eastAsia="標楷體"/>
          <w:b w:val="0"/>
          <w:sz w:val="24"/>
        </w:rPr>
        <w:t>：驗證因子與敏感度為零時活動係數不生效之邊界行為。</w:t>
      </w:r>
    </w:p>
    <w:p>
      <w:pPr>
        <w:pStyle w:val="ListBullet"/>
        <w:spacing w:line="276" w:lineRule="auto" w:after="120" w:before="0"/>
        <w:jc w:val="both"/>
      </w:pPr>
      <w:r>
        <w:rPr>
          <w:rFonts w:ascii="Times New Roman" w:hAnsi="Times New Roman" w:eastAsia="標楷體"/>
          <w:b/>
          <w:sz w:val="24"/>
        </w:rPr>
        <w:t>規律性判定</w:t>
      </w:r>
      <w:r>
        <w:rPr>
          <w:rFonts w:ascii="Times New Roman" w:hAnsi="Times New Roman" w:eastAsia="標楷體"/>
          <w:b w:val="0"/>
          <w:sz w:val="24"/>
        </w:rPr>
        <w:t>：驗證觀察窗成熟門檻、未滿觀察期退回品項預設值之分類。</w:t>
      </w:r>
    </w:p>
    <w:p>
      <w:pPr>
        <w:pStyle w:val="ListBullet"/>
        <w:spacing w:line="276" w:lineRule="auto" w:after="120" w:before="0"/>
        <w:jc w:val="both"/>
      </w:pPr>
      <w:r>
        <w:rPr>
          <w:rFonts w:ascii="Times New Roman" w:hAnsi="Times New Roman" w:eastAsia="標楷體"/>
          <w:b/>
          <w:sz w:val="24"/>
        </w:rPr>
        <w:t>冷啟動歸零</w:t>
      </w:r>
      <w:r>
        <w:rPr>
          <w:rFonts w:ascii="Times New Roman" w:hAnsi="Times New Roman" w:eastAsia="標楷體"/>
          <w:b w:val="0"/>
          <w:sz w:val="24"/>
        </w:rPr>
        <w:t>：驗證無歷史資料與間歇型品項建議量為零、以來源標籤區分成因。</w:t>
      </w:r>
    </w:p>
    <w:p>
      <w:pPr>
        <w:pStyle w:val="ListBullet"/>
        <w:spacing w:line="276" w:lineRule="auto" w:after="120" w:before="0"/>
        <w:jc w:val="both"/>
      </w:pPr>
      <w:r>
        <w:rPr>
          <w:rFonts w:ascii="Times New Roman" w:hAnsi="Times New Roman" w:eastAsia="標楷體"/>
          <w:b/>
          <w:sz w:val="24"/>
        </w:rPr>
        <w:t>校準回填</w:t>
      </w:r>
      <w:r>
        <w:rPr>
          <w:rFonts w:ascii="Times New Roman" w:hAnsi="Times New Roman" w:eastAsia="標楷體"/>
          <w:b w:val="0"/>
          <w:sz w:val="24"/>
        </w:rPr>
        <w:t>：驗證每月以上月實際叫貨量回填修正，並計算加權絕對百分比誤差（WAPE，即預測值與實際叫貨量差距之百分比指標，數值愈低代表預測愈精準）。</w:t>
      </w:r>
    </w:p>
    <w:p>
      <w:pPr>
        <w:spacing w:line="276" w:lineRule="auto" w:after="120" w:before="0"/>
        <w:ind w:firstLine="480"/>
        <w:jc w:val="both"/>
      </w:pPr>
      <w:r>
        <w:rPr>
          <w:rFonts w:ascii="Times New Roman" w:hAnsi="Times New Roman" w:eastAsia="標楷體"/>
          <w:b w:val="0"/>
          <w:sz w:val="24"/>
        </w:rPr>
        <w:t>對應測試檔：forecast.service.spec.ts、forecast.controller.spec.ts、forecast-board.spec.ts、forecast-recalc.spec.ts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資料串接測試確認預測快照（CS_Forecast）之定版寫入正確，且看板、草稿、回填三處共用同一份快照；並以留痕欄稽核確保預測之方法與依據欄位無遺漏。</w:t>
      </w:r>
    </w:p>
    <w:p>
      <w:pPr>
        <w:pStyle w:val="ListBullet"/>
        <w:spacing w:line="276" w:lineRule="auto" w:after="120" w:before="0"/>
        <w:jc w:val="both"/>
      </w:pPr>
      <w:r>
        <w:rPr>
          <w:rFonts w:ascii="Times New Roman" w:hAnsi="Times New Roman" w:eastAsia="標楷體"/>
          <w:b w:val="0"/>
          <w:sz w:val="24"/>
        </w:rPr>
        <w:t>schema-drift（資料表結構漂移稽核，檢查新舊系統欄位定義是否一致）：105 張新舊共享資料表 0 drift（結構零差異）；forecast-labels 留痕欄位 0 違規。</w:t>
      </w:r>
    </w:p>
    <w:p>
      <w:pPr>
        <w:spacing w:line="276" w:lineRule="auto" w:after="120" w:before="0"/>
        <w:ind w:firstLine="480"/>
        <w:jc w:val="both"/>
      </w:pPr>
      <w:r>
        <w:rPr>
          <w:rFonts w:ascii="Times New Roman" w:hAnsi="Times New Roman" w:eastAsia="標楷體"/>
          <w:b w:val="0"/>
          <w:sz w:val="24"/>
        </w:rPr>
        <w:t>對應稽核：audit:schema-drift、audit:forecast-labels、audit:status-nullsafe</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情境測試以端到端流程模擬每月十五日之草稿產出，驗證各場域依規律性正確產生建議量或標示需人工填量，並確認場域資料範圍（scope）正確隔離。</w:t>
      </w:r>
    </w:p>
    <w:p>
      <w:pPr>
        <w:spacing w:line="276" w:lineRule="auto" w:after="120" w:before="0"/>
        <w:ind w:firstLine="480"/>
        <w:jc w:val="both"/>
      </w:pPr>
      <w:r>
        <w:rPr>
          <w:rFonts w:ascii="Times New Roman" w:hAnsi="Times New Roman" w:eastAsia="標楷體"/>
          <w:b w:val="0"/>
          <w:sz w:val="24"/>
        </w:rPr>
        <w:t>對應測試檔：consumable-rhythm.spec.ts、consumable-scope.spec.ts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使用者驗證以唯讀驗收案例檢視預測看板之呈現，確認建議量、來源標籤與需累積月數之標示可正確顯示予使用者。</w:t>
      </w:r>
    </w:p>
    <w:p>
      <w:pPr>
        <w:spacing w:line="276" w:lineRule="auto" w:after="120" w:before="0"/>
        <w:ind w:firstLine="480"/>
        <w:jc w:val="both"/>
      </w:pPr>
      <w:r>
        <w:rPr>
          <w:rFonts w:ascii="Times New Roman" w:hAnsi="Times New Roman" w:eastAsia="標楷體"/>
          <w:b w:val="0"/>
          <w:sz w:val="24"/>
        </w:rPr>
        <w:t>對應測試檔／文件：acer-production-acceptance.spec.ts、all-pages-smoke.spec.ts、CHECKLIST_P1.md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公式、規律性、冷啟動、WAPE 校準</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預測快照定版、留痕欄、schema 0 drift</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月節奏草稿產出、場域範圍隔離</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預測看板唯讀呈現與來源標籤</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伍、補貨建議模組測試</w:t>
      </w:r>
    </w:p>
    <w:p>
      <w:pPr>
        <w:spacing w:line="276" w:lineRule="auto" w:after="120" w:before="0"/>
        <w:ind w:firstLine="480"/>
        <w:jc w:val="both"/>
      </w:pPr>
      <w:r>
        <w:rPr>
          <w:rFonts w:ascii="Times New Roman" w:hAnsi="Times New Roman" w:eastAsia="標楷體"/>
          <w:b w:val="0"/>
          <w:sz w:val="24"/>
        </w:rPr>
        <w:t>補貨建議模組將需求預測轉為對內之月訂貨草稿與對外之供應商備貨前視。對內每月十五日產草稿、二十五日結單鎖定；發單時以三來源（採購、倉調、既有庫存）混搭產生採購單與倉調，並確保回填期間人工調整之數量不被自動重算覆蓋。</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整合測試驗證訂貨流程之推進與供應商排序邏輯，涵蓋三來源混搭、供應商優先序、調撥來源選取與結單自動採納。</w:t>
      </w:r>
    </w:p>
    <w:p>
      <w:pPr>
        <w:pStyle w:val="ListBullet"/>
        <w:spacing w:line="276" w:lineRule="auto" w:after="120" w:before="0"/>
        <w:jc w:val="both"/>
      </w:pPr>
      <w:r>
        <w:rPr>
          <w:rFonts w:ascii="Times New Roman" w:hAnsi="Times New Roman" w:eastAsia="標楷體"/>
          <w:b/>
          <w:sz w:val="24"/>
        </w:rPr>
        <w:t>回填不覆蓋人工值</w:t>
      </w:r>
      <w:r>
        <w:rPr>
          <w:rFonts w:ascii="Times New Roman" w:hAnsi="Times New Roman" w:eastAsia="標楷體"/>
          <w:b w:val="0"/>
          <w:sz w:val="24"/>
        </w:rPr>
        <w:t>：以「填寫量是否等於原建議量」判定，確保人工判斷不被抹除。</w:t>
      </w:r>
    </w:p>
    <w:p>
      <w:pPr>
        <w:pStyle w:val="ListBullet"/>
        <w:spacing w:line="276" w:lineRule="auto" w:after="120" w:before="0"/>
        <w:jc w:val="both"/>
      </w:pPr>
      <w:r>
        <w:rPr>
          <w:rFonts w:ascii="Times New Roman" w:hAnsi="Times New Roman" w:eastAsia="標楷體"/>
          <w:b/>
          <w:sz w:val="24"/>
        </w:rPr>
        <w:t>供應商優先序</w:t>
      </w:r>
      <w:r>
        <w:rPr>
          <w:rFonts w:ascii="Times New Roman" w:hAnsi="Times New Roman" w:eastAsia="標楷體"/>
          <w:b w:val="0"/>
          <w:sz w:val="24"/>
        </w:rPr>
        <w:t>：驗證以品項 × 供應商關聯為基底之備貨預測與補貨建議子集關係。</w:t>
      </w:r>
    </w:p>
    <w:p>
      <w:pPr>
        <w:pStyle w:val="ListBullet"/>
        <w:spacing w:line="276" w:lineRule="auto" w:after="120" w:before="0"/>
        <w:jc w:val="both"/>
      </w:pPr>
      <w:r>
        <w:rPr>
          <w:rFonts w:ascii="Times New Roman" w:hAnsi="Times New Roman" w:eastAsia="標楷體"/>
          <w:b/>
          <w:sz w:val="24"/>
        </w:rPr>
        <w:t>調撥來源</w:t>
      </w:r>
      <w:r>
        <w:rPr>
          <w:rFonts w:ascii="Times New Roman" w:hAnsi="Times New Roman" w:eastAsia="標楷體"/>
          <w:b w:val="0"/>
          <w:sz w:val="24"/>
        </w:rPr>
        <w:t>：驗證發單時倉調來源之選取與庫存門檻。</w:t>
      </w:r>
    </w:p>
    <w:p>
      <w:pPr>
        <w:spacing w:line="276" w:lineRule="auto" w:after="120" w:before="0"/>
        <w:ind w:firstLine="480"/>
        <w:jc w:val="both"/>
      </w:pPr>
      <w:r>
        <w:rPr>
          <w:rFonts w:ascii="Times New Roman" w:hAnsi="Times New Roman" w:eastAsia="標楷體"/>
          <w:b w:val="0"/>
          <w:sz w:val="24"/>
        </w:rPr>
        <w:t>對應測試檔：consumable-order.service.spec.ts、supplier-priority.service.spec.ts、supplier-priority.spec.ts、transfer-source.spec.ts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資料串接測試確認訂單與採購單相關 CS_ 資料表寫入正確，並以雙語系 SQL 雙寫與 PG 分支陷阱稽核確保跨資料庫語法一致。</w:t>
      </w:r>
    </w:p>
    <w:p>
      <w:pPr>
        <w:pStyle w:val="ListBullet"/>
        <w:spacing w:line="276" w:lineRule="auto" w:after="120" w:before="0"/>
        <w:jc w:val="both"/>
      </w:pPr>
      <w:r>
        <w:rPr>
          <w:rFonts w:ascii="Times New Roman" w:hAnsi="Times New Roman" w:eastAsia="標楷體"/>
          <w:b w:val="0"/>
          <w:sz w:val="24"/>
        </w:rPr>
        <w:t>schema-drift 0 drift（資料表結構零差異）；pg-traps（PostgreSQL 語法陷阱稽核）28 個 postgres SQL 區段全數乾淨、零違規。</w:t>
      </w:r>
    </w:p>
    <w:p>
      <w:pPr>
        <w:spacing w:line="276" w:lineRule="auto" w:after="120" w:before="0"/>
        <w:ind w:firstLine="480"/>
        <w:jc w:val="both"/>
      </w:pPr>
      <w:r>
        <w:rPr>
          <w:rFonts w:ascii="Times New Roman" w:hAnsi="Times New Roman" w:eastAsia="標楷體"/>
          <w:b w:val="0"/>
          <w:sz w:val="24"/>
        </w:rPr>
        <w:t>對應稽核：audit:schema-drift、audit:pg-traps、db-dialect 雙寫</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情境測試模擬完整月節奏：十五日產草稿、現場回填、二十五日結單、推進發單，並驗證樂觀鎖機制於雙人同時編輯時之衝突擋阻——後送出者將被系統阻止覆蓋前者之修改（回傳衝突代碼 409）。</w:t>
      </w:r>
    </w:p>
    <w:p>
      <w:pPr>
        <w:spacing w:line="276" w:lineRule="auto" w:after="120" w:before="0"/>
        <w:ind w:firstLine="480"/>
        <w:jc w:val="both"/>
      </w:pPr>
      <w:r>
        <w:rPr>
          <w:rFonts w:ascii="Times New Roman" w:hAnsi="Times New Roman" w:eastAsia="標楷體"/>
          <w:b w:val="0"/>
          <w:sz w:val="24"/>
        </w:rPr>
        <w:t>對應測試檔：consumable-rhythm.spec.ts、optimistic-lock.spec.ts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使用者驗證檢視訂貨草稿與供應商備貨頁之呈現，並對照上線整備與驗收清單確認流程可供使用者完整操作。</w:t>
      </w:r>
    </w:p>
    <w:p>
      <w:pPr>
        <w:spacing w:line="276" w:lineRule="auto" w:after="120" w:before="0"/>
        <w:ind w:firstLine="480"/>
        <w:jc w:val="both"/>
      </w:pPr>
      <w:r>
        <w:rPr>
          <w:rFonts w:ascii="Times New Roman" w:hAnsi="Times New Roman" w:eastAsia="標楷體"/>
          <w:b w:val="0"/>
          <w:sz w:val="24"/>
        </w:rPr>
        <w:t>對應測試檔／文件：acer-production-acceptance.spec.ts、CUTOVER_ACCEPTANCE_CHECKLIST.md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三來源混搭、供應商序、回填不覆蓋人工值</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schema 0 drift、pg-traps 28 block 乾淨</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月節奏結單發單、樂觀鎖 409</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訂貨草稿與備貨頁驗收</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陸、異常預警模組測試</w:t>
      </w:r>
    </w:p>
    <w:p>
      <w:pPr>
        <w:spacing w:line="276" w:lineRule="auto" w:after="120" w:before="0"/>
        <w:ind w:firstLine="480"/>
        <w:jc w:val="both"/>
      </w:pPr>
      <w:r>
        <w:rPr>
          <w:rFonts w:ascii="Times New Roman" w:hAnsi="Times New Roman" w:eastAsia="標楷體"/>
          <w:b w:val="0"/>
          <w:sz w:val="24"/>
        </w:rPr>
        <w:t>異常預警模組提供六類型之自動巡檢——低庫存、異常消耗、回報遲延、供貨延遲、長時間未補貨、需求異常增加，依三級制（低／中／高）分級，以去重鍵避免重複開單，並可指名供應商協同回覆。</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整合測試驗證預警引擎與各偵測器之邏輯，涵蓋六類巡檢之偵測條件、分級門檻、去重鍵與複合升級規則。</w:t>
      </w:r>
    </w:p>
    <w:p>
      <w:pPr>
        <w:pStyle w:val="ListBullet"/>
        <w:spacing w:line="276" w:lineRule="auto" w:after="120" w:before="0"/>
        <w:jc w:val="both"/>
      </w:pPr>
      <w:r>
        <w:rPr>
          <w:rFonts w:ascii="Times New Roman" w:hAnsi="Times New Roman" w:eastAsia="標楷體"/>
          <w:b/>
          <w:sz w:val="24"/>
        </w:rPr>
        <w:t>分級與門檻</w:t>
      </w:r>
      <w:r>
        <w:rPr>
          <w:rFonts w:ascii="Times New Roman" w:hAnsi="Times New Roman" w:eastAsia="標楷體"/>
          <w:b w:val="0"/>
          <w:sz w:val="24"/>
        </w:rPr>
        <w:t>：驗證三級門檻參數之企業覆寫，及設定異常時退回預設值而非中止。</w:t>
      </w:r>
    </w:p>
    <w:p>
      <w:pPr>
        <w:pStyle w:val="ListBullet"/>
        <w:spacing w:line="276" w:lineRule="auto" w:after="120" w:before="0"/>
        <w:jc w:val="both"/>
      </w:pPr>
      <w:r>
        <w:rPr>
          <w:rFonts w:ascii="Times New Roman" w:hAnsi="Times New Roman" w:eastAsia="標楷體"/>
          <w:b/>
          <w:sz w:val="24"/>
        </w:rPr>
        <w:t>去重鍵</w:t>
      </w:r>
      <w:r>
        <w:rPr>
          <w:rFonts w:ascii="Times New Roman" w:hAnsi="Times New Roman" w:eastAsia="標楷體"/>
          <w:b w:val="0"/>
          <w:sz w:val="24"/>
        </w:rPr>
        <w:t>：驗證同場域同品項之低庫存視為同一事件、不重複開單。</w:t>
      </w:r>
    </w:p>
    <w:p>
      <w:pPr>
        <w:pStyle w:val="ListBullet"/>
        <w:spacing w:line="276" w:lineRule="auto" w:after="120" w:before="0"/>
        <w:jc w:val="both"/>
      </w:pPr>
      <w:r>
        <w:rPr>
          <w:rFonts w:ascii="Times New Roman" w:hAnsi="Times New Roman" w:eastAsia="標楷體"/>
          <w:b/>
          <w:sz w:val="24"/>
        </w:rPr>
        <w:t>複合升級</w:t>
      </w:r>
      <w:r>
        <w:rPr>
          <w:rFonts w:ascii="Times New Roman" w:hAnsi="Times New Roman" w:eastAsia="標楷體"/>
          <w:b w:val="0"/>
          <w:sz w:val="24"/>
        </w:rPr>
        <w:t>：驗證回報遲延併未結案低庫存時直接升為高級。</w:t>
      </w:r>
    </w:p>
    <w:p>
      <w:pPr>
        <w:pStyle w:val="ListBullet"/>
        <w:spacing w:line="276" w:lineRule="auto" w:after="120" w:before="0"/>
        <w:jc w:val="both"/>
      </w:pPr>
      <w:r>
        <w:rPr>
          <w:rFonts w:ascii="Times New Roman" w:hAnsi="Times New Roman" w:eastAsia="標楷體"/>
          <w:b/>
          <w:sz w:val="24"/>
        </w:rPr>
        <w:t>小站排除</w:t>
      </w:r>
      <w:r>
        <w:rPr>
          <w:rFonts w:ascii="Times New Roman" w:hAnsi="Times New Roman" w:eastAsia="標楷體"/>
          <w:b w:val="0"/>
          <w:sz w:val="24"/>
        </w:rPr>
        <w:t>：驗證領用型小站不納入低庫存偵測與安全水位計算。</w:t>
      </w:r>
    </w:p>
    <w:p>
      <w:pPr>
        <w:spacing w:line="276" w:lineRule="auto" w:after="120" w:before="0"/>
        <w:ind w:firstLine="480"/>
        <w:jc w:val="both"/>
      </w:pPr>
      <w:r>
        <w:rPr>
          <w:rFonts w:ascii="Times New Roman" w:hAnsi="Times New Roman" w:eastAsia="標楷體"/>
          <w:b w:val="0"/>
          <w:sz w:val="24"/>
        </w:rPr>
        <w:t>對應測試檔：alert-engine.service.spec.ts、alert-rules.config.spec.ts、detectors-stock.spec.ts、detectors-flow.spec.ts、detectors-forecast.spec.ts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資料串接測試確認預警（CS_Alert）之寫入，並特別驗證 Status 欄之 NULL 三值邏輯安全——避免舊表中 Status 為 NULL 之列於查詢篩選時被靜默遺漏（NULL 即資料庫中之空值）。</w:t>
      </w:r>
    </w:p>
    <w:p>
      <w:pPr>
        <w:pStyle w:val="ListBullet"/>
        <w:spacing w:line="276" w:lineRule="auto" w:after="120" w:before="0"/>
        <w:jc w:val="both"/>
      </w:pPr>
      <w:r>
        <w:rPr>
          <w:rFonts w:ascii="Times New Roman" w:hAnsi="Times New Roman" w:eastAsia="標楷體"/>
          <w:b w:val="0"/>
          <w:sz w:val="24"/>
        </w:rPr>
        <w:t>status-nullsafe：掃 342 檔、baseline 全維持、raw 危險寫法持續減少。</w:t>
      </w:r>
    </w:p>
    <w:p>
      <w:pPr>
        <w:spacing w:line="276" w:lineRule="auto" w:after="120" w:before="0"/>
        <w:ind w:firstLine="480"/>
        <w:jc w:val="both"/>
      </w:pPr>
      <w:r>
        <w:rPr>
          <w:rFonts w:ascii="Times New Roman" w:hAnsi="Times New Roman" w:eastAsia="標楷體"/>
          <w:b w:val="0"/>
          <w:sz w:val="24"/>
        </w:rPr>
        <w:t>對應稽核：audit:status-nullsafe、audit:schema-drift</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情境測試以端到端煙霧流程驗證預警中心之呈現，並以速率限制測試確認高頻請求下之防護不影響巡檢正確性。</w:t>
      </w:r>
    </w:p>
    <w:p>
      <w:pPr>
        <w:spacing w:line="276" w:lineRule="auto" w:after="120" w:before="0"/>
        <w:ind w:firstLine="480"/>
        <w:jc w:val="both"/>
      </w:pPr>
      <w:r>
        <w:rPr>
          <w:rFonts w:ascii="Times New Roman" w:hAnsi="Times New Roman" w:eastAsia="標楷體"/>
          <w:b w:val="0"/>
          <w:sz w:val="24"/>
        </w:rPr>
        <w:t>對應測試檔：consumable-smoke.spec.ts、rate-limit.spec.ts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使用者驗證檢視異常中心畫面之預警清單與分級標示，確認使用者可正確辨識各級異常。</w:t>
      </w:r>
    </w:p>
    <w:p>
      <w:pPr>
        <w:spacing w:line="276" w:lineRule="auto" w:after="120" w:before="0"/>
        <w:ind w:firstLine="480"/>
        <w:jc w:val="both"/>
      </w:pPr>
      <w:r>
        <w:rPr>
          <w:rFonts w:ascii="Times New Roman" w:hAnsi="Times New Roman" w:eastAsia="標楷體"/>
          <w:b w:val="0"/>
          <w:sz w:val="24"/>
        </w:rPr>
        <w:t>對應測試檔／文件：acer-production-acceptance.spec.ts、all-pages-smoke.spec.ts</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六類巡檢、三級分級、去重、複合升級</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CS_Alert 寫入、Status NULL 安全</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預警中心煙霧流程、速率限制</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異常清單與分級標示辨識</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柒、協同配送模組測試</w:t>
      </w:r>
    </w:p>
    <w:p>
      <w:pPr>
        <w:spacing w:line="276" w:lineRule="auto" w:after="120" w:before="0"/>
        <w:ind w:firstLine="480"/>
        <w:jc w:val="both"/>
      </w:pPr>
      <w:r>
        <w:rPr>
          <w:rFonts w:ascii="Times New Roman" w:hAnsi="Times New Roman" w:eastAsia="標楷體"/>
          <w:b w:val="0"/>
          <w:sz w:val="24"/>
        </w:rPr>
        <w:t>協同配送模組不採路徑最佳化，而以可解釋之規則排序產出配送建議：急件優先（急迫分數）、同行政區相鄰、主站帶分站、三日整併時間窗；批次狀態依「草稿→已排定→配送中→完成」推進，出車為狀態前進之唯一路徑，並於配送前對來源庫存進行預檢。</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整合測試驗證配送批次與配送計畫之服務邏輯，涵蓋急迫分數計算、同區整併、主站帶分站、批次狀態流程與來源庫存預檢。</w:t>
      </w:r>
    </w:p>
    <w:p>
      <w:pPr>
        <w:pStyle w:val="ListBullet"/>
        <w:spacing w:line="276" w:lineRule="auto" w:after="120" w:before="0"/>
        <w:jc w:val="both"/>
      </w:pPr>
      <w:r>
        <w:rPr>
          <w:rFonts w:ascii="Times New Roman" w:hAnsi="Times New Roman" w:eastAsia="標楷體"/>
          <w:b/>
          <w:sz w:val="24"/>
        </w:rPr>
        <w:t>急迫分數</w:t>
      </w:r>
      <w:r>
        <w:rPr>
          <w:rFonts w:ascii="Times New Roman" w:hAnsi="Times New Roman" w:eastAsia="標楷體"/>
          <w:b w:val="0"/>
          <w:sz w:val="24"/>
        </w:rPr>
        <w:t>：驗證逾期＋40、二日內＋25、五日內＋10、併低庫存＋30、異常複核＋20、上限 100 之加權。</w:t>
      </w:r>
    </w:p>
    <w:p>
      <w:pPr>
        <w:pStyle w:val="ListBullet"/>
        <w:spacing w:line="276" w:lineRule="auto" w:after="120" w:before="0"/>
        <w:jc w:val="both"/>
      </w:pPr>
      <w:r>
        <w:rPr>
          <w:rFonts w:ascii="Times New Roman" w:hAnsi="Times New Roman" w:eastAsia="標楷體"/>
          <w:b/>
          <w:sz w:val="24"/>
        </w:rPr>
        <w:t>批次狀態機</w:t>
      </w:r>
      <w:r>
        <w:rPr>
          <w:rFonts w:ascii="Times New Roman" w:hAnsi="Times New Roman" w:eastAsia="標楷體"/>
          <w:b w:val="0"/>
          <w:sz w:val="24"/>
        </w:rPr>
        <w:t>：驗證出車時寫入出貨日、完成狀態由驗收自動推導。</w:t>
      </w:r>
    </w:p>
    <w:p>
      <w:pPr>
        <w:pStyle w:val="ListBullet"/>
        <w:spacing w:line="276" w:lineRule="auto" w:after="120" w:before="0"/>
        <w:jc w:val="both"/>
      </w:pPr>
      <w:r>
        <w:rPr>
          <w:rFonts w:ascii="Times New Roman" w:hAnsi="Times New Roman" w:eastAsia="標楷體"/>
          <w:b/>
          <w:sz w:val="24"/>
        </w:rPr>
        <w:t>來源預檢</w:t>
      </w:r>
      <w:r>
        <w:rPr>
          <w:rFonts w:ascii="Times New Roman" w:hAnsi="Times New Roman" w:eastAsia="標楷體"/>
          <w:b w:val="0"/>
          <w:sz w:val="24"/>
        </w:rPr>
        <w:t>：驗證配送前對來源庫存之預檢與短收處理。</w:t>
      </w:r>
    </w:p>
    <w:p>
      <w:pPr>
        <w:spacing w:line="276" w:lineRule="auto" w:after="120" w:before="0"/>
        <w:ind w:firstLine="480"/>
        <w:jc w:val="both"/>
      </w:pPr>
      <w:r>
        <w:rPr>
          <w:rFonts w:ascii="Times New Roman" w:hAnsi="Times New Roman" w:eastAsia="標楷體"/>
          <w:b w:val="0"/>
          <w:sz w:val="24"/>
        </w:rPr>
        <w:t>對應測試檔：delivery-batch.service.spec.ts、delivery-plan.service.spec.ts、consumable-stock.service.spec.ts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資料串接測試確認配送單（CS_Transfer，一品項一張）與批次（CS_DeliveryBatch）之寫入正確，並以雙語系 SQL 雙寫確保跨資料庫查詢一致。</w:t>
      </w:r>
    </w:p>
    <w:p>
      <w:pPr>
        <w:pStyle w:val="ListBullet"/>
        <w:spacing w:line="276" w:lineRule="auto" w:after="120" w:before="0"/>
        <w:jc w:val="both"/>
      </w:pPr>
      <w:r>
        <w:rPr>
          <w:rFonts w:ascii="Times New Roman" w:hAnsi="Times New Roman" w:eastAsia="標楷體"/>
          <w:b w:val="0"/>
          <w:sz w:val="24"/>
        </w:rPr>
        <w:t>schema-drift 0 drift；db-dialect 雙寫覆蓋配送相關查詢。</w:t>
      </w:r>
    </w:p>
    <w:p>
      <w:pPr>
        <w:spacing w:line="276" w:lineRule="auto" w:after="120" w:before="0"/>
        <w:ind w:firstLine="480"/>
        <w:jc w:val="both"/>
      </w:pPr>
      <w:r>
        <w:rPr>
          <w:rFonts w:ascii="Times New Roman" w:hAnsi="Times New Roman" w:eastAsia="標楷體"/>
          <w:b w:val="0"/>
          <w:sz w:val="24"/>
        </w:rPr>
        <w:t>對應稽核：audit:schema-drift、db-dialect 雙寫</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情境測試以場域多合約流程（site-multi-contract，22 案例）驗證跨合約場域之配送與範圍隔離，涵蓋獨立場域與歸一合約之混合情形。</w:t>
      </w:r>
    </w:p>
    <w:p>
      <w:pPr>
        <w:spacing w:line="276" w:lineRule="auto" w:after="120" w:before="0"/>
        <w:ind w:firstLine="480"/>
        <w:jc w:val="both"/>
      </w:pPr>
      <w:r>
        <w:rPr>
          <w:rFonts w:ascii="Times New Roman" w:hAnsi="Times New Roman" w:eastAsia="標楷體"/>
          <w:b w:val="0"/>
          <w:sz w:val="24"/>
        </w:rPr>
        <w:t>對應測試檔：site-multi-contract.spec.ts、consumable-scope.spec.ts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使用者驗證檢視配送批次與供應商配送資訊頁之呈現，確認批次狀態與出貨資訊可正確顯示。</w:t>
      </w:r>
    </w:p>
    <w:p>
      <w:pPr>
        <w:spacing w:line="276" w:lineRule="auto" w:after="120" w:before="0"/>
        <w:ind w:firstLine="480"/>
        <w:jc w:val="both"/>
      </w:pPr>
      <w:r>
        <w:rPr>
          <w:rFonts w:ascii="Times New Roman" w:hAnsi="Times New Roman" w:eastAsia="標楷體"/>
          <w:b w:val="0"/>
          <w:sz w:val="24"/>
        </w:rPr>
        <w:t>對應測試檔／文件：acer-production-acceptance.spec.ts、STAGING_DRY_RUN_CHECKLIST.md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急迫分數、同區整併、批次狀態機、來源預檢</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CS_Transfer／批次寫入、雙寫一致</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場域多合約配送、範圍隔離（22 案例）</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配送批次與供應商配送資訊頁</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捌、營運儀表板模組測試</w:t>
      </w:r>
    </w:p>
    <w:p>
      <w:pPr>
        <w:spacing w:line="276" w:lineRule="auto" w:after="120" w:before="0"/>
        <w:ind w:firstLine="480"/>
        <w:jc w:val="both"/>
      </w:pPr>
      <w:r>
        <w:rPr>
          <w:rFonts w:ascii="Times New Roman" w:hAnsi="Times New Roman" w:eastAsia="標楷體"/>
          <w:b w:val="0"/>
          <w:sz w:val="24"/>
        </w:rPr>
        <w:t>營運儀表板模組彙整預算控管、營運指標、歷史查詢與稽核審計。預算口徑採合約月額，指標統計排除以特定建立者標記識別之測試場域，避免測試資料污染營運數據。</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整合測試驗證首頁儀表板與營運快照之計算邏輯，涵蓋預算總表對比、指標計算口徑與測試場域排除規則。</w:t>
      </w:r>
    </w:p>
    <w:p>
      <w:pPr>
        <w:pStyle w:val="ListBullet"/>
        <w:spacing w:line="276" w:lineRule="auto" w:after="120" w:before="0"/>
        <w:jc w:val="both"/>
      </w:pPr>
      <w:r>
        <w:rPr>
          <w:rFonts w:ascii="Times New Roman" w:hAnsi="Times New Roman" w:eastAsia="標楷體"/>
          <w:b/>
          <w:sz w:val="24"/>
        </w:rPr>
        <w:t>預算口徑</w:t>
      </w:r>
      <w:r>
        <w:rPr>
          <w:rFonts w:ascii="Times New Roman" w:hAnsi="Times New Roman" w:eastAsia="標楷體"/>
          <w:b w:val="0"/>
          <w:sz w:val="24"/>
        </w:rPr>
        <w:t>：驗證以合約月額而非品項彙總之計算基準。</w:t>
      </w:r>
    </w:p>
    <w:p>
      <w:pPr>
        <w:pStyle w:val="ListBullet"/>
        <w:spacing w:line="276" w:lineRule="auto" w:after="120" w:before="0"/>
        <w:jc w:val="both"/>
      </w:pPr>
      <w:r>
        <w:rPr>
          <w:rFonts w:ascii="Times New Roman" w:hAnsi="Times New Roman" w:eastAsia="標楷體"/>
          <w:b/>
          <w:sz w:val="24"/>
        </w:rPr>
        <w:t>測試場域排除</w:t>
      </w:r>
      <w:r>
        <w:rPr>
          <w:rFonts w:ascii="Times New Roman" w:hAnsi="Times New Roman" w:eastAsia="標楷體"/>
          <w:b w:val="0"/>
          <w:sz w:val="24"/>
        </w:rPr>
        <w:t>：驗證指標統計正確排除測試建立者之資料。</w:t>
      </w:r>
    </w:p>
    <w:p>
      <w:pPr>
        <w:spacing w:line="276" w:lineRule="auto" w:after="120" w:before="0"/>
        <w:ind w:firstLine="480"/>
        <w:jc w:val="both"/>
      </w:pPr>
      <w:r>
        <w:rPr>
          <w:rFonts w:ascii="Times New Roman" w:hAnsi="Times New Roman" w:eastAsia="標楷體"/>
          <w:b w:val="0"/>
          <w:sz w:val="24"/>
        </w:rPr>
        <w:t>對應測試檔：home-dashboard.service.spec.ts、home-operations-snapshot.service.spec.ts、home-operations-snapshot-rules.spec.ts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資料串接測試確認場域快照引用之正確性，並以報表對齊回歸確保儀表板底層查詢與舊系統口徑一致。</w:t>
      </w:r>
    </w:p>
    <w:p>
      <w:pPr>
        <w:pStyle w:val="ListBullet"/>
        <w:spacing w:line="276" w:lineRule="auto" w:after="120" w:before="0"/>
        <w:jc w:val="both"/>
      </w:pPr>
      <w:r>
        <w:rPr>
          <w:rFonts w:ascii="Times New Roman" w:hAnsi="Times New Roman" w:eastAsia="標楷體"/>
          <w:b w:val="0"/>
          <w:sz w:val="24"/>
        </w:rPr>
        <w:t>site-project-snapshot：baseline 3 處全維持；schema-drift 0 drift。</w:t>
      </w:r>
    </w:p>
    <w:p>
      <w:pPr>
        <w:spacing w:line="276" w:lineRule="auto" w:after="120" w:before="0"/>
        <w:ind w:firstLine="480"/>
        <w:jc w:val="both"/>
      </w:pPr>
      <w:r>
        <w:rPr>
          <w:rFonts w:ascii="Times New Roman" w:hAnsi="Times New Roman" w:eastAsia="標楷體"/>
          <w:b w:val="0"/>
          <w:sz w:val="24"/>
        </w:rPr>
        <w:t>對應稽核：audit:site-project-snapshot、audit:schema-drift</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情境測試以報表對齊回歸與跨租戶隔離驗證，確認儀表板不會洩漏他租戶資料（jwt-cross-tenant），且報表數據與基準對齊。</w:t>
      </w:r>
    </w:p>
    <w:p>
      <w:pPr>
        <w:spacing w:line="276" w:lineRule="auto" w:after="120" w:before="0"/>
        <w:ind w:firstLine="480"/>
        <w:jc w:val="both"/>
      </w:pPr>
      <w:r>
        <w:rPr>
          <w:rFonts w:ascii="Times New Roman" w:hAnsi="Times New Roman" w:eastAsia="標楷體"/>
          <w:b w:val="0"/>
          <w:sz w:val="24"/>
        </w:rPr>
        <w:t>對應測試檔：report-alignment-regression.spec.ts、jwt-cross-tenant.spec.ts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使用者驗證以唯讀驗收案例檢視預算總表與營運指標之呈現，確認管理者可正確檢視各項數據。</w:t>
      </w:r>
    </w:p>
    <w:p>
      <w:pPr>
        <w:spacing w:line="276" w:lineRule="auto" w:after="120" w:before="0"/>
        <w:ind w:firstLine="480"/>
        <w:jc w:val="both"/>
      </w:pPr>
      <w:r>
        <w:rPr>
          <w:rFonts w:ascii="Times New Roman" w:hAnsi="Times New Roman" w:eastAsia="標楷體"/>
          <w:b w:val="0"/>
          <w:sz w:val="24"/>
        </w:rPr>
        <w:t>對應測試檔／文件：acer-production-acceptance.spec.ts、all-pages-smoke.spec.ts</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預算口徑、指標計算、測試場域排除</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場域快照引用、schema 0 drift</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報表對齊回歸、跨租戶隔離</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預算總表與營運指標唯讀呈現</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玖、維修支援模組測試</w:t>
      </w:r>
    </w:p>
    <w:p>
      <w:pPr>
        <w:spacing w:line="276" w:lineRule="auto" w:after="120" w:before="0"/>
        <w:ind w:firstLine="480"/>
        <w:jc w:val="both"/>
      </w:pPr>
      <w:r>
        <w:rPr>
          <w:rFonts w:ascii="Times New Roman" w:hAnsi="Times New Roman" w:eastAsia="標楷體"/>
          <w:b w:val="0"/>
          <w:sz w:val="24"/>
        </w:rPr>
        <w:t>維修支援模組涵蓋資產管理、報修流程、時效追蹤與汰換決策。報修狀態機以純函式實作、前後端與決策模組三處共用；核價、調度比對與三案年化成本試算全採規則與統計基準，未使用語言模型。</w:t>
      </w:r>
    </w:p>
    <w:p>
      <w:pPr>
        <w:spacing w:line="276" w:lineRule="auto" w:after="120" w:before="160"/>
        <w:jc w:val="left"/>
      </w:pPr>
      <w:r>
        <w:rPr>
          <w:rFonts w:ascii="Times New Roman" w:hAnsi="Times New Roman" w:eastAsia="標楷體"/>
          <w:b/>
          <w:sz w:val="28"/>
        </w:rPr>
        <w:t>（一）系統整合測試</w:t>
      </w:r>
    </w:p>
    <w:p>
      <w:pPr>
        <w:spacing w:line="276" w:lineRule="auto" w:after="120" w:before="0"/>
        <w:ind w:firstLine="480"/>
        <w:jc w:val="both"/>
      </w:pPr>
      <w:r>
        <w:rPr>
          <w:rFonts w:ascii="Times New Roman" w:hAnsi="Times New Roman" w:eastAsia="標楷體"/>
          <w:b w:val="0"/>
          <w:sz w:val="24"/>
        </w:rPr>
        <w:t>整合測試驗證報修流程狀態機、時效標準、資產折舊與決策支援邏輯。</w:t>
      </w:r>
    </w:p>
    <w:p>
      <w:pPr>
        <w:pStyle w:val="ListBullet"/>
        <w:spacing w:line="276" w:lineRule="auto" w:after="120" w:before="0"/>
        <w:jc w:val="both"/>
      </w:pPr>
      <w:r>
        <w:rPr>
          <w:rFonts w:ascii="Times New Roman" w:hAnsi="Times New Roman" w:eastAsia="標楷體"/>
          <w:b/>
          <w:sz w:val="24"/>
        </w:rPr>
        <w:t>狀態機純函式</w:t>
      </w:r>
      <w:r>
        <w:rPr>
          <w:rFonts w:ascii="Times New Roman" w:hAnsi="Times New Roman" w:eastAsia="標楷體"/>
          <w:b w:val="0"/>
          <w:sz w:val="24"/>
        </w:rPr>
        <w:t>：驗證待受理→已派工→處理中→已完工及作廢／退回之轉換規則。</w:t>
      </w:r>
    </w:p>
    <w:p>
      <w:pPr>
        <w:pStyle w:val="ListBullet"/>
        <w:spacing w:line="276" w:lineRule="auto" w:after="120" w:before="0"/>
        <w:jc w:val="both"/>
      </w:pPr>
      <w:r>
        <w:rPr>
          <w:rFonts w:ascii="Times New Roman" w:hAnsi="Times New Roman" w:eastAsia="標楷體"/>
          <w:b/>
          <w:sz w:val="24"/>
        </w:rPr>
        <w:t>時效標準</w:t>
      </w:r>
      <w:r>
        <w:rPr>
          <w:rFonts w:ascii="Times New Roman" w:hAnsi="Times New Roman" w:eastAsia="標楷體"/>
          <w:b w:val="0"/>
          <w:sz w:val="24"/>
        </w:rPr>
        <w:t>：驗證四階段時效之使用者設定與設定損毀時退回預設值。</w:t>
      </w:r>
    </w:p>
    <w:p>
      <w:pPr>
        <w:pStyle w:val="ListBullet"/>
        <w:spacing w:line="276" w:lineRule="auto" w:after="120" w:before="0"/>
        <w:jc w:val="both"/>
      </w:pPr>
      <w:r>
        <w:rPr>
          <w:rFonts w:ascii="Times New Roman" w:hAnsi="Times New Roman" w:eastAsia="標楷體"/>
          <w:b/>
          <w:sz w:val="24"/>
        </w:rPr>
        <w:t>折舊與核價</w:t>
      </w:r>
      <w:r>
        <w:rPr>
          <w:rFonts w:ascii="Times New Roman" w:hAnsi="Times New Roman" w:eastAsia="標楷體"/>
          <w:b w:val="0"/>
          <w:sz w:val="24"/>
        </w:rPr>
        <w:t>：驗證資產折舊計算與三案年化成本試算之比較基準。</w:t>
      </w:r>
    </w:p>
    <w:p>
      <w:pPr>
        <w:spacing w:line="276" w:lineRule="auto" w:after="120" w:before="0"/>
        <w:ind w:firstLine="480"/>
        <w:jc w:val="both"/>
      </w:pPr>
      <w:r>
        <w:rPr>
          <w:rFonts w:ascii="Times New Roman" w:hAnsi="Times New Roman" w:eastAsia="標楷體"/>
          <w:b w:val="0"/>
          <w:sz w:val="24"/>
        </w:rPr>
        <w:t>對應測試檔：repair-flow.spec.ts、sla.spec.ts、depreciation.spec.ts、asset-import.spec.ts、asset-no.spec.ts</w:t>
      </w:r>
    </w:p>
    <w:p>
      <w:pPr>
        <w:spacing w:line="276" w:lineRule="auto" w:after="120" w:before="160"/>
        <w:jc w:val="left"/>
      </w:pPr>
      <w:r>
        <w:rPr>
          <w:rFonts w:ascii="Times New Roman" w:hAnsi="Times New Roman" w:eastAsia="標楷體"/>
          <w:b/>
          <w:sz w:val="28"/>
        </w:rPr>
        <w:t>（二）資料串接測試</w:t>
      </w:r>
    </w:p>
    <w:p>
      <w:pPr>
        <w:spacing w:line="276" w:lineRule="auto" w:after="120" w:before="0"/>
        <w:ind w:firstLine="480"/>
        <w:jc w:val="both"/>
      </w:pPr>
      <w:r>
        <w:rPr>
          <w:rFonts w:ascii="Times New Roman" w:hAnsi="Times New Roman" w:eastAsia="標楷體"/>
          <w:b w:val="0"/>
          <w:sz w:val="24"/>
        </w:rPr>
        <w:t>資料串接測試確認資產與維修相關資料表之寫入及編號規則正確，並以 schema-drift 稽核確保結構一致。</w:t>
      </w:r>
    </w:p>
    <w:p>
      <w:pPr>
        <w:pStyle w:val="ListBullet"/>
        <w:spacing w:line="276" w:lineRule="auto" w:after="120" w:before="0"/>
        <w:jc w:val="both"/>
      </w:pPr>
      <w:r>
        <w:rPr>
          <w:rFonts w:ascii="Times New Roman" w:hAnsi="Times New Roman" w:eastAsia="標楷體"/>
          <w:b w:val="0"/>
          <w:sz w:val="24"/>
        </w:rPr>
        <w:t>schema-drift 0 drift；資產編號規則（asset-no）驗證通過。</w:t>
      </w:r>
    </w:p>
    <w:p>
      <w:pPr>
        <w:spacing w:line="276" w:lineRule="auto" w:after="120" w:before="0"/>
        <w:ind w:firstLine="480"/>
        <w:jc w:val="both"/>
      </w:pPr>
      <w:r>
        <w:rPr>
          <w:rFonts w:ascii="Times New Roman" w:hAnsi="Times New Roman" w:eastAsia="標楷體"/>
          <w:b w:val="0"/>
          <w:sz w:val="24"/>
        </w:rPr>
        <w:t>對應稽核：audit:schema-drift、asset-no.spec.ts</w:t>
      </w:r>
    </w:p>
    <w:p>
      <w:pPr>
        <w:spacing w:line="276" w:lineRule="auto" w:after="120" w:before="160"/>
        <w:jc w:val="left"/>
      </w:pPr>
      <w:r>
        <w:rPr>
          <w:rFonts w:ascii="Times New Roman" w:hAnsi="Times New Roman" w:eastAsia="標楷體"/>
          <w:b/>
          <w:sz w:val="28"/>
        </w:rPr>
        <w:t>（三）情境模擬測試</w:t>
      </w:r>
    </w:p>
    <w:p>
      <w:pPr>
        <w:spacing w:line="276" w:lineRule="auto" w:after="120" w:before="0"/>
        <w:ind w:firstLine="480"/>
        <w:jc w:val="both"/>
      </w:pPr>
      <w:r>
        <w:rPr>
          <w:rFonts w:ascii="Times New Roman" w:hAnsi="Times New Roman" w:eastAsia="標楷體"/>
          <w:b w:val="0"/>
          <w:sz w:val="24"/>
        </w:rPr>
        <w:t>情境測試以全頁面煙霧流程驗證維修各頁之可達性，並以 XSS 淨化測試確認維修內容渲染前已過淨化、防止儲存型跨站腳本。</w:t>
      </w:r>
    </w:p>
    <w:p>
      <w:pPr>
        <w:spacing w:line="276" w:lineRule="auto" w:after="120" w:before="0"/>
        <w:ind w:firstLine="480"/>
        <w:jc w:val="both"/>
      </w:pPr>
      <w:r>
        <w:rPr>
          <w:rFonts w:ascii="Times New Roman" w:hAnsi="Times New Roman" w:eastAsia="標楷體"/>
          <w:b w:val="0"/>
          <w:sz w:val="24"/>
        </w:rPr>
        <w:t>對應測試檔：all-pages-smoke.spec.ts、xss-sanitize.spec.ts</w:t>
      </w:r>
    </w:p>
    <w:p>
      <w:pPr>
        <w:spacing w:line="276" w:lineRule="auto" w:after="120" w:before="160"/>
        <w:jc w:val="left"/>
      </w:pPr>
      <w:r>
        <w:rPr>
          <w:rFonts w:ascii="Times New Roman" w:hAnsi="Times New Roman" w:eastAsia="標楷體"/>
          <w:b/>
          <w:sz w:val="28"/>
        </w:rPr>
        <w:t>（四）使用者驗證測試</w:t>
      </w:r>
    </w:p>
    <w:p>
      <w:pPr>
        <w:spacing w:line="276" w:lineRule="auto" w:after="120" w:before="0"/>
        <w:ind w:firstLine="480"/>
        <w:jc w:val="both"/>
      </w:pPr>
      <w:r>
        <w:rPr>
          <w:rFonts w:ascii="Times New Roman" w:hAnsi="Times New Roman" w:eastAsia="標楷體"/>
          <w:b w:val="0"/>
          <w:sz w:val="24"/>
        </w:rPr>
        <w:t>使用者驗證檢視報修單與供應商維修單頁之呈現，確認狀態流轉與時效標示可正確顯示予使用者與派工供應商。</w:t>
      </w:r>
    </w:p>
    <w:p>
      <w:pPr>
        <w:spacing w:line="276" w:lineRule="auto" w:after="120" w:before="0"/>
        <w:ind w:firstLine="480"/>
        <w:jc w:val="both"/>
      </w:pPr>
      <w:r>
        <w:rPr>
          <w:rFonts w:ascii="Times New Roman" w:hAnsi="Times New Roman" w:eastAsia="標楷體"/>
          <w:b w:val="0"/>
          <w:sz w:val="24"/>
        </w:rPr>
        <w:t>對應測試檔／文件：acer-production-acceptance.spec.ts、CHECKLIST_P1.md</w:t>
      </w:r>
    </w:p>
    <w:p>
      <w:pPr>
        <w:spacing w:line="276" w:lineRule="auto" w:after="120" w:before="160"/>
        <w:jc w:val="left"/>
      </w:pPr>
      <w:r>
        <w:rPr>
          <w:rFonts w:ascii="Times New Roman" w:hAnsi="Times New Roman" w:eastAsia="標楷體"/>
          <w:b/>
          <w:sz w:val="28"/>
        </w:rPr>
        <w:t>（五）測試結果小結</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D9E2F3"/>
          </w:tcPr>
          <w:p>
            <w:pPr>
              <w:spacing w:line="276" w:lineRule="auto" w:after="0" w:before="0"/>
              <w:jc w:val="left"/>
            </w:pPr>
            <w:r/>
            <w:r>
              <w:rPr>
                <w:rFonts w:ascii="Times New Roman" w:hAnsi="Times New Roman" w:eastAsia="標楷體"/>
                <w:b/>
                <w:sz w:val="22"/>
              </w:rPr>
              <w:t>測試類別</w:t>
            </w:r>
          </w:p>
        </w:tc>
        <w:tc>
          <w:tcPr>
            <w:tcW w:type="dxa" w:w="4762"/>
            <w:shd w:val="clear" w:color="auto" w:fill="D9E2F3"/>
          </w:tcPr>
          <w:p>
            <w:pPr>
              <w:spacing w:line="276" w:lineRule="auto" w:after="0" w:before="0"/>
              <w:jc w:val="left"/>
            </w:pPr>
            <w:r/>
            <w:r>
              <w:rPr>
                <w:rFonts w:ascii="Times New Roman" w:hAnsi="Times New Roman" w:eastAsia="標楷體"/>
                <w:b/>
                <w:sz w:val="22"/>
              </w:rPr>
              <w:t>主要驗證項</w:t>
            </w:r>
          </w:p>
        </w:tc>
        <w:tc>
          <w:tcPr>
            <w:tcW w:type="dxa" w:w="1020"/>
            <w:shd w:val="clear" w:color="auto" w:fill="D9E2F3"/>
          </w:tcPr>
          <w:p>
            <w:pPr>
              <w:spacing w:line="276" w:lineRule="auto" w:after="0" w:before="0"/>
              <w:jc w:val="left"/>
            </w:pPr>
            <w:r/>
            <w:r>
              <w:rPr>
                <w:rFonts w:ascii="Times New Roman" w:hAnsi="Times New Roman" w:eastAsia="標楷體"/>
                <w:b/>
                <w:sz w:val="22"/>
              </w:rPr>
              <w:t>結果</w:t>
            </w:r>
          </w:p>
        </w:tc>
      </w:tr>
      <w:tr>
        <w:tc>
          <w:tcPr>
            <w:tcW w:type="dxa" w:w="1701"/>
          </w:tcPr>
          <w:p>
            <w:pPr>
              <w:spacing w:line="276" w:lineRule="auto" w:after="0" w:before="0"/>
              <w:jc w:val="left"/>
            </w:pPr>
            <w:r/>
            <w:r>
              <w:rPr>
                <w:rFonts w:ascii="Times New Roman" w:hAnsi="Times New Roman" w:eastAsia="標楷體"/>
                <w:b w:val="0"/>
                <w:sz w:val="22"/>
              </w:rPr>
              <w:t>（一）系統整合測試</w:t>
            </w:r>
          </w:p>
        </w:tc>
        <w:tc>
          <w:tcPr>
            <w:tcW w:type="dxa" w:w="4762"/>
          </w:tcPr>
          <w:p>
            <w:pPr>
              <w:spacing w:line="276" w:lineRule="auto" w:after="0" w:before="0"/>
              <w:jc w:val="left"/>
            </w:pPr>
            <w:r/>
            <w:r>
              <w:rPr>
                <w:rFonts w:ascii="Times New Roman" w:hAnsi="Times New Roman" w:eastAsia="標楷體"/>
                <w:b w:val="0"/>
                <w:sz w:val="22"/>
              </w:rPr>
              <w:t>狀態機、四階段時效、折舊、核價試算</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（二）資料串接測試</w:t>
            </w:r>
          </w:p>
        </w:tc>
        <w:tc>
          <w:tcPr>
            <w:tcW w:type="dxa" w:w="4762"/>
          </w:tcPr>
          <w:p>
            <w:pPr>
              <w:spacing w:line="276" w:lineRule="auto" w:after="0" w:before="0"/>
              <w:jc w:val="left"/>
            </w:pPr>
            <w:r/>
            <w:r>
              <w:rPr>
                <w:rFonts w:ascii="Times New Roman" w:hAnsi="Times New Roman" w:eastAsia="標楷體"/>
                <w:b w:val="0"/>
                <w:sz w:val="22"/>
              </w:rPr>
              <w:t>資產／維修表寫入、編號規則、schema 0 drift</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（三）情境模擬測試</w:t>
            </w:r>
          </w:p>
        </w:tc>
        <w:tc>
          <w:tcPr>
            <w:tcW w:type="dxa" w:w="4762"/>
          </w:tcPr>
          <w:p>
            <w:pPr>
              <w:spacing w:line="276" w:lineRule="auto" w:after="0" w:before="0"/>
              <w:jc w:val="left"/>
            </w:pPr>
            <w:r/>
            <w:r>
              <w:rPr>
                <w:rFonts w:ascii="Times New Roman" w:hAnsi="Times New Roman" w:eastAsia="標楷體"/>
                <w:b w:val="0"/>
                <w:sz w:val="22"/>
              </w:rPr>
              <w:t>維修全頁煙霧、XSS 淨化</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r>
        <w:tc>
          <w:tcPr>
            <w:tcW w:type="dxa" w:w="1701"/>
          </w:tcPr>
          <w:p>
            <w:pPr>
              <w:spacing w:line="276" w:lineRule="auto" w:after="0" w:before="0"/>
              <w:jc w:val="left"/>
            </w:pPr>
            <w:r/>
            <w:r>
              <w:rPr>
                <w:rFonts w:ascii="Times New Roman" w:hAnsi="Times New Roman" w:eastAsia="標楷體"/>
                <w:b w:val="0"/>
                <w:sz w:val="22"/>
              </w:rPr>
              <w:t>（四）使用者驗證測試</w:t>
            </w:r>
          </w:p>
        </w:tc>
        <w:tc>
          <w:tcPr>
            <w:tcW w:type="dxa" w:w="4762"/>
          </w:tcPr>
          <w:p>
            <w:pPr>
              <w:spacing w:line="276" w:lineRule="auto" w:after="0" w:before="0"/>
              <w:jc w:val="left"/>
            </w:pPr>
            <w:r/>
            <w:r>
              <w:rPr>
                <w:rFonts w:ascii="Times New Roman" w:hAnsi="Times New Roman" w:eastAsia="標楷體"/>
                <w:b w:val="0"/>
                <w:sz w:val="22"/>
              </w:rPr>
              <w:t>報修單與供應商維修單頁驗收</w:t>
            </w:r>
          </w:p>
        </w:tc>
        <w:tc>
          <w:tcPr>
            <w:tcW w:type="dxa" w:w="1020"/>
            <w:shd w:val="clear" w:color="auto" w:fill="E2EFDA"/>
          </w:tcPr>
          <w:p>
            <w:pPr>
              <w:spacing w:line="276" w:lineRule="auto" w:after="0" w:before="0"/>
              <w:jc w:val="left"/>
            </w:pPr>
            <w:r/>
            <w:r>
              <w:rPr>
                <w:rFonts w:ascii="Times New Roman" w:hAnsi="Times New Roman" w:eastAsia="標楷體"/>
                <w:b w:val="0"/>
                <w:sz w:val="22"/>
              </w:rPr>
              <w:t>通過</w:t>
            </w:r>
          </w:p>
        </w:tc>
      </w:tr>
    </w:tbl>
    <w:p/>
    <w:p>
      <w:r>
        <w:br w:type="page"/>
      </w:r>
    </w:p>
    <w:p>
      <w:pPr>
        <w:spacing w:line="276" w:lineRule="auto" w:after="160" w:before="280"/>
        <w:jc w:val="left"/>
      </w:pPr>
      <w:r>
        <w:rPr>
          <w:rFonts w:ascii="Times New Roman" w:hAnsi="Times New Roman" w:eastAsia="標楷體"/>
          <w:b/>
          <w:color w:val="1F3A5F"/>
          <w:sz w:val="28"/>
        </w:rPr>
        <w:t>拾、效能與併發測試專章</w:t>
      </w:r>
    </w:p>
    <w:p>
      <w:pPr>
        <w:spacing w:line="276" w:lineRule="auto" w:after="120" w:before="160"/>
        <w:jc w:val="left"/>
      </w:pPr>
      <w:r>
        <w:rPr>
          <w:rFonts w:ascii="Times New Roman" w:hAnsi="Times New Roman" w:eastAsia="標楷體"/>
          <w:b/>
          <w:sz w:val="28"/>
        </w:rPr>
        <w:t>一、測試設計</w:t>
      </w:r>
    </w:p>
    <w:p>
      <w:pPr>
        <w:spacing w:line="276" w:lineRule="auto" w:after="120" w:before="0"/>
        <w:ind w:firstLine="480"/>
        <w:jc w:val="both"/>
      </w:pPr>
      <w:r>
        <w:rPr>
          <w:rFonts w:ascii="Times New Roman" w:hAnsi="Times New Roman" w:eastAsia="標楷體"/>
          <w:b w:val="0"/>
          <w:sz w:val="24"/>
        </w:rPr>
        <w:t>本章對應指標三（同時支援人數 ≥ 50 人）與指標四（回應時間 ≤ 5 秒）。測試以壓力測試工具 autocannon@8 模擬 50 名使用者同時連線（即 50 併發）、持續 20 秒，僅對唯讀查詢端點（選單、耗材品項清單、場域合約彙總）發出請求，並以專用壓測帳號 loadtest01 執行、純讀不寫。為區分「系統本身之純承載能力」與「含網路延遲之真實使用體感」，同一組端點分兩種做法各量測一次。</w:t>
      </w:r>
    </w:p>
    <w:p>
      <w:pPr>
        <w:spacing w:line="276" w:lineRule="auto" w:after="120" w:before="0"/>
        <w:ind w:firstLine="480"/>
        <w:jc w:val="both"/>
      </w:pPr>
      <w:r>
        <w:rPr>
          <w:rFonts w:ascii="Times New Roman" w:hAnsi="Times New Roman" w:eastAsia="標楷體"/>
          <w:b w:val="0"/>
          <w:sz w:val="24"/>
        </w:rPr>
        <w:t>為便於研判，後續各表所列量測指標之意義說明如下：RPS 指每秒處理之請求數，數值愈高代表系統吞吐能力愈強；avg 為平均回應時間；p99 為第九十九百分位回應時間，即排除最慢百分之一後之回應水準，用以反映絕大多數使用者所感受之最差情形；max 為全部請求中之最大回應時間，係最嚴苛之判準。本報告即以 max 對照 5 秒門檻進行達標認定。</w:t>
      </w:r>
    </w:p>
    <w:p>
      <w:pPr>
        <w:pStyle w:val="ListBullet"/>
        <w:spacing w:line="276" w:lineRule="auto" w:after="120" w:before="0"/>
        <w:jc w:val="both"/>
      </w:pPr>
      <w:r>
        <w:rPr>
          <w:rFonts w:ascii="Times New Roman" w:hAnsi="Times New Roman" w:eastAsia="標楷體"/>
          <w:b/>
          <w:sz w:val="24"/>
        </w:rPr>
        <w:t>做法一（外部真實使用者模擬）</w:t>
      </w:r>
      <w:r>
        <w:rPr>
          <w:rFonts w:ascii="Times New Roman" w:hAnsi="Times New Roman" w:eastAsia="標楷體"/>
          <w:b w:val="0"/>
          <w:sz w:val="24"/>
        </w:rPr>
        <w:t>：自高雄經網際網路打 dev 對外網域 dev-acer-cleaning-api.jini.tw，數據含真實網路往返延遲，最貼近使用者實際體感。</w:t>
      </w:r>
    </w:p>
    <w:p>
      <w:pPr>
        <w:pStyle w:val="ListBullet"/>
        <w:spacing w:line="276" w:lineRule="auto" w:after="120" w:before="0"/>
        <w:jc w:val="both"/>
      </w:pPr>
      <w:r>
        <w:rPr>
          <w:rFonts w:ascii="Times New Roman" w:hAnsi="Times New Roman" w:eastAsia="標楷體"/>
          <w:b/>
          <w:sz w:val="24"/>
        </w:rPr>
        <w:t>做法二（伺服器本機純承載對照）</w:t>
      </w:r>
      <w:r>
        <w:rPr>
          <w:rFonts w:ascii="Times New Roman" w:hAnsi="Times New Roman" w:eastAsia="標楷體"/>
          <w:b w:val="0"/>
          <w:sz w:val="24"/>
        </w:rPr>
        <w:t>：於伺服器本機打 localhost，排除網路延遲，用以觀察系統本身之承載上限。</w:t>
      </w:r>
    </w:p>
    <w:p>
      <w:pPr>
        <w:spacing w:line="276" w:lineRule="auto" w:after="120" w:before="160"/>
        <w:jc w:val="left"/>
      </w:pPr>
      <w:r>
        <w:rPr>
          <w:rFonts w:ascii="Times New Roman" w:hAnsi="Times New Roman" w:eastAsia="標楷體"/>
          <w:b/>
          <w:sz w:val="28"/>
        </w:rPr>
        <w:t>二、做法一：外部真實使用者模擬</w:t>
      </w:r>
    </w:p>
    <w:p>
      <w:pPr>
        <w:spacing w:line="276" w:lineRule="auto" w:after="120" w:before="0"/>
        <w:ind w:firstLine="480"/>
        <w:jc w:val="both"/>
      </w:pPr>
      <w:r>
        <w:rPr>
          <w:rFonts w:ascii="Times New Roman" w:hAnsi="Times New Roman" w:eastAsia="標楷體"/>
          <w:b w:val="0"/>
          <w:sz w:val="24"/>
        </w:rPr>
        <w:t>自高雄經網際網路打對外網域，含網路延遲。三端點 50 併發皆 100% 通過、0 錯誤 0 逾時，最大回應 2.613 秒，未逾 5 秒門檻。</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2608"/>
            <w:shd w:val="clear" w:color="auto" w:fill="D9E2F3"/>
          </w:tcPr>
          <w:p>
            <w:pPr>
              <w:spacing w:line="276" w:lineRule="auto" w:after="0" w:before="0"/>
              <w:jc w:val="left"/>
            </w:pPr>
            <w:r/>
            <w:r>
              <w:rPr>
                <w:rFonts w:ascii="Times New Roman" w:hAnsi="Times New Roman" w:eastAsia="標楷體"/>
                <w:b/>
                <w:sz w:val="22"/>
              </w:rPr>
              <w:t>端點</w:t>
            </w:r>
          </w:p>
        </w:tc>
        <w:tc>
          <w:tcPr>
            <w:tcW w:type="dxa" w:w="850"/>
            <w:shd w:val="clear" w:color="auto" w:fill="D9E2F3"/>
          </w:tcPr>
          <w:p>
            <w:pPr>
              <w:spacing w:line="276" w:lineRule="auto" w:after="0" w:before="0"/>
              <w:jc w:val="left"/>
            </w:pPr>
            <w:r/>
            <w:r>
              <w:rPr>
                <w:rFonts w:ascii="Times New Roman" w:hAnsi="Times New Roman" w:eastAsia="標楷體"/>
                <w:b/>
                <w:sz w:val="22"/>
              </w:rPr>
              <w:t>請求數</w:t>
            </w:r>
          </w:p>
        </w:tc>
        <w:tc>
          <w:tcPr>
            <w:tcW w:type="dxa" w:w="737"/>
            <w:shd w:val="clear" w:color="auto" w:fill="D9E2F3"/>
          </w:tcPr>
          <w:p>
            <w:pPr>
              <w:spacing w:line="276" w:lineRule="auto" w:after="0" w:before="0"/>
              <w:jc w:val="left"/>
            </w:pPr>
            <w:r/>
            <w:r>
              <w:rPr>
                <w:rFonts w:ascii="Times New Roman" w:hAnsi="Times New Roman" w:eastAsia="標楷體"/>
                <w:b/>
                <w:sz w:val="22"/>
              </w:rPr>
              <w:t>RPS</w:t>
            </w:r>
          </w:p>
        </w:tc>
        <w:tc>
          <w:tcPr>
            <w:tcW w:type="dxa" w:w="794"/>
            <w:shd w:val="clear" w:color="auto" w:fill="D9E2F3"/>
          </w:tcPr>
          <w:p>
            <w:pPr>
              <w:spacing w:line="276" w:lineRule="auto" w:after="0" w:before="0"/>
              <w:jc w:val="left"/>
            </w:pPr>
            <w:r/>
            <w:r>
              <w:rPr>
                <w:rFonts w:ascii="Times New Roman" w:hAnsi="Times New Roman" w:eastAsia="標楷體"/>
                <w:b/>
                <w:sz w:val="22"/>
              </w:rPr>
              <w:t>通過率</w:t>
            </w:r>
          </w:p>
        </w:tc>
        <w:tc>
          <w:tcPr>
            <w:tcW w:type="dxa" w:w="907"/>
            <w:shd w:val="clear" w:color="auto" w:fill="D9E2F3"/>
          </w:tcPr>
          <w:p>
            <w:pPr>
              <w:spacing w:line="276" w:lineRule="auto" w:after="0" w:before="0"/>
              <w:jc w:val="left"/>
            </w:pPr>
            <w:r/>
            <w:r>
              <w:rPr>
                <w:rFonts w:ascii="Times New Roman" w:hAnsi="Times New Roman" w:eastAsia="標楷體"/>
                <w:b/>
                <w:sz w:val="22"/>
              </w:rPr>
              <w:t>錯誤／逾時</w:t>
            </w:r>
          </w:p>
        </w:tc>
        <w:tc>
          <w:tcPr>
            <w:tcW w:type="dxa" w:w="737"/>
            <w:shd w:val="clear" w:color="auto" w:fill="D9E2F3"/>
          </w:tcPr>
          <w:p>
            <w:pPr>
              <w:spacing w:line="276" w:lineRule="auto" w:after="0" w:before="0"/>
              <w:jc w:val="left"/>
            </w:pPr>
            <w:r/>
            <w:r>
              <w:rPr>
                <w:rFonts w:ascii="Times New Roman" w:hAnsi="Times New Roman" w:eastAsia="標楷體"/>
                <w:b/>
                <w:sz w:val="22"/>
              </w:rPr>
              <w:t>avg</w:t>
            </w:r>
          </w:p>
        </w:tc>
        <w:tc>
          <w:tcPr>
            <w:tcW w:type="dxa" w:w="737"/>
            <w:shd w:val="clear" w:color="auto" w:fill="D9E2F3"/>
          </w:tcPr>
          <w:p>
            <w:pPr>
              <w:spacing w:line="276" w:lineRule="auto" w:after="0" w:before="0"/>
              <w:jc w:val="left"/>
            </w:pPr>
            <w:r/>
            <w:r>
              <w:rPr>
                <w:rFonts w:ascii="Times New Roman" w:hAnsi="Times New Roman" w:eastAsia="標楷體"/>
                <w:b/>
                <w:sz w:val="22"/>
              </w:rPr>
              <w:t>p99</w:t>
            </w:r>
          </w:p>
        </w:tc>
        <w:tc>
          <w:tcPr>
            <w:tcW w:type="dxa" w:w="737"/>
            <w:shd w:val="clear" w:color="auto" w:fill="D9E2F3"/>
          </w:tcPr>
          <w:p>
            <w:pPr>
              <w:spacing w:line="276" w:lineRule="auto" w:after="0" w:before="0"/>
              <w:jc w:val="left"/>
            </w:pPr>
            <w:r/>
            <w:r>
              <w:rPr>
                <w:rFonts w:ascii="Times New Roman" w:hAnsi="Times New Roman" w:eastAsia="標楷體"/>
                <w:b/>
                <w:sz w:val="22"/>
              </w:rPr>
              <w:t>max</w:t>
            </w:r>
          </w:p>
        </w:tc>
      </w:tr>
      <w:tr>
        <w:tc>
          <w:tcPr>
            <w:tcW w:type="dxa" w:w="2608"/>
          </w:tcPr>
          <w:p>
            <w:pPr>
              <w:spacing w:line="276" w:lineRule="auto" w:after="0" w:before="0"/>
              <w:jc w:val="left"/>
            </w:pPr>
            <w:r/>
            <w:r>
              <w:rPr>
                <w:rFonts w:ascii="Times New Roman" w:hAnsi="Times New Roman" w:eastAsia="標楷體"/>
                <w:b w:val="0"/>
                <w:sz w:val="22"/>
              </w:rPr>
              <w:t>GET /api/menu/me</w:t>
            </w:r>
          </w:p>
        </w:tc>
        <w:tc>
          <w:tcPr>
            <w:tcW w:type="dxa" w:w="850"/>
          </w:tcPr>
          <w:p>
            <w:pPr>
              <w:spacing w:line="276" w:lineRule="auto" w:after="0" w:before="0"/>
              <w:jc w:val="left"/>
            </w:pPr>
            <w:r/>
            <w:r>
              <w:rPr>
                <w:rFonts w:ascii="Times New Roman" w:hAnsi="Times New Roman" w:eastAsia="標楷體"/>
                <w:b w:val="0"/>
                <w:sz w:val="22"/>
              </w:rPr>
              <w:t>3074</w:t>
            </w:r>
          </w:p>
        </w:tc>
        <w:tc>
          <w:tcPr>
            <w:tcW w:type="dxa" w:w="737"/>
          </w:tcPr>
          <w:p>
            <w:pPr>
              <w:spacing w:line="276" w:lineRule="auto" w:after="0" w:before="0"/>
              <w:jc w:val="left"/>
            </w:pPr>
            <w:r/>
            <w:r>
              <w:rPr>
                <w:rFonts w:ascii="Times New Roman" w:hAnsi="Times New Roman" w:eastAsia="標楷體"/>
                <w:b w:val="0"/>
                <w:sz w:val="22"/>
              </w:rPr>
              <w:t>153.7</w:t>
            </w:r>
          </w:p>
        </w:tc>
        <w:tc>
          <w:tcPr>
            <w:tcW w:type="dxa" w:w="794"/>
          </w:tcPr>
          <w:p>
            <w:pPr>
              <w:spacing w:line="276" w:lineRule="auto" w:after="0" w:before="0"/>
              <w:jc w:val="left"/>
            </w:pPr>
            <w:r/>
            <w:r>
              <w:rPr>
                <w:rFonts w:ascii="Times New Roman" w:hAnsi="Times New Roman" w:eastAsia="標楷體"/>
                <w:b w:val="0"/>
                <w:sz w:val="22"/>
              </w:rPr>
              <w:t>100%</w:t>
            </w:r>
          </w:p>
        </w:tc>
        <w:tc>
          <w:tcPr>
            <w:tcW w:type="dxa" w:w="907"/>
          </w:tcPr>
          <w:p>
            <w:pPr>
              <w:spacing w:line="276" w:lineRule="auto" w:after="0" w:before="0"/>
              <w:jc w:val="left"/>
            </w:pPr>
            <w:r/>
            <w:r>
              <w:rPr>
                <w:rFonts w:ascii="Times New Roman" w:hAnsi="Times New Roman" w:eastAsia="標楷體"/>
                <w:b w:val="0"/>
                <w:sz w:val="22"/>
              </w:rPr>
              <w:t>0 / 0</w:t>
            </w:r>
          </w:p>
        </w:tc>
        <w:tc>
          <w:tcPr>
            <w:tcW w:type="dxa" w:w="737"/>
          </w:tcPr>
          <w:p>
            <w:pPr>
              <w:spacing w:line="276" w:lineRule="auto" w:after="0" w:before="0"/>
              <w:jc w:val="left"/>
            </w:pPr>
            <w:r/>
            <w:r>
              <w:rPr>
                <w:rFonts w:ascii="Times New Roman" w:hAnsi="Times New Roman" w:eastAsia="標楷體"/>
                <w:b w:val="0"/>
                <w:sz w:val="22"/>
              </w:rPr>
              <w:t>322ms</w:t>
            </w:r>
          </w:p>
        </w:tc>
        <w:tc>
          <w:tcPr>
            <w:tcW w:type="dxa" w:w="737"/>
          </w:tcPr>
          <w:p>
            <w:pPr>
              <w:spacing w:line="276" w:lineRule="auto" w:after="0" w:before="0"/>
              <w:jc w:val="left"/>
            </w:pPr>
            <w:r/>
            <w:r>
              <w:rPr>
                <w:rFonts w:ascii="Times New Roman" w:hAnsi="Times New Roman" w:eastAsia="標楷體"/>
                <w:b w:val="0"/>
                <w:sz w:val="22"/>
              </w:rPr>
              <w:t>767ms</w:t>
            </w:r>
          </w:p>
        </w:tc>
        <w:tc>
          <w:tcPr>
            <w:tcW w:type="dxa" w:w="737"/>
          </w:tcPr>
          <w:p>
            <w:pPr>
              <w:spacing w:line="276" w:lineRule="auto" w:after="0" w:before="0"/>
              <w:jc w:val="left"/>
            </w:pPr>
            <w:r/>
            <w:r>
              <w:rPr>
                <w:rFonts w:ascii="Times New Roman" w:hAnsi="Times New Roman" w:eastAsia="標楷體"/>
                <w:b w:val="0"/>
                <w:sz w:val="22"/>
              </w:rPr>
              <w:t>1170ms</w:t>
            </w:r>
          </w:p>
        </w:tc>
      </w:tr>
      <w:tr>
        <w:tc>
          <w:tcPr>
            <w:tcW w:type="dxa" w:w="2608"/>
          </w:tcPr>
          <w:p>
            <w:pPr>
              <w:spacing w:line="276" w:lineRule="auto" w:after="0" w:before="0"/>
              <w:jc w:val="left"/>
            </w:pPr>
            <w:r/>
            <w:r>
              <w:rPr>
                <w:rFonts w:ascii="Times New Roman" w:hAnsi="Times New Roman" w:eastAsia="標楷體"/>
                <w:b w:val="0"/>
                <w:sz w:val="22"/>
              </w:rPr>
              <w:t>GET /api/consumable/items（page=1,size=50）</w:t>
            </w:r>
          </w:p>
        </w:tc>
        <w:tc>
          <w:tcPr>
            <w:tcW w:type="dxa" w:w="850"/>
          </w:tcPr>
          <w:p>
            <w:pPr>
              <w:spacing w:line="276" w:lineRule="auto" w:after="0" w:before="0"/>
              <w:jc w:val="left"/>
            </w:pPr>
            <w:r/>
            <w:r>
              <w:rPr>
                <w:rFonts w:ascii="Times New Roman" w:hAnsi="Times New Roman" w:eastAsia="標楷體"/>
                <w:b w:val="0"/>
                <w:sz w:val="22"/>
              </w:rPr>
              <w:t>863</w:t>
            </w:r>
          </w:p>
        </w:tc>
        <w:tc>
          <w:tcPr>
            <w:tcW w:type="dxa" w:w="737"/>
          </w:tcPr>
          <w:p>
            <w:pPr>
              <w:spacing w:line="276" w:lineRule="auto" w:after="0" w:before="0"/>
              <w:jc w:val="left"/>
            </w:pPr>
            <w:r/>
            <w:r>
              <w:rPr>
                <w:rFonts w:ascii="Times New Roman" w:hAnsi="Times New Roman" w:eastAsia="標楷體"/>
                <w:b w:val="0"/>
                <w:sz w:val="22"/>
              </w:rPr>
              <w:t>43.1</w:t>
            </w:r>
          </w:p>
        </w:tc>
        <w:tc>
          <w:tcPr>
            <w:tcW w:type="dxa" w:w="794"/>
          </w:tcPr>
          <w:p>
            <w:pPr>
              <w:spacing w:line="276" w:lineRule="auto" w:after="0" w:before="0"/>
              <w:jc w:val="left"/>
            </w:pPr>
            <w:r/>
            <w:r>
              <w:rPr>
                <w:rFonts w:ascii="Times New Roman" w:hAnsi="Times New Roman" w:eastAsia="標楷體"/>
                <w:b w:val="0"/>
                <w:sz w:val="22"/>
              </w:rPr>
              <w:t>100%</w:t>
            </w:r>
          </w:p>
        </w:tc>
        <w:tc>
          <w:tcPr>
            <w:tcW w:type="dxa" w:w="907"/>
          </w:tcPr>
          <w:p>
            <w:pPr>
              <w:spacing w:line="276" w:lineRule="auto" w:after="0" w:before="0"/>
              <w:jc w:val="left"/>
            </w:pPr>
            <w:r/>
            <w:r>
              <w:rPr>
                <w:rFonts w:ascii="Times New Roman" w:hAnsi="Times New Roman" w:eastAsia="標楷體"/>
                <w:b w:val="0"/>
                <w:sz w:val="22"/>
              </w:rPr>
              <w:t>0 / 0</w:t>
            </w:r>
          </w:p>
        </w:tc>
        <w:tc>
          <w:tcPr>
            <w:tcW w:type="dxa" w:w="737"/>
          </w:tcPr>
          <w:p>
            <w:pPr>
              <w:spacing w:line="276" w:lineRule="auto" w:after="0" w:before="0"/>
              <w:jc w:val="left"/>
            </w:pPr>
            <w:r/>
            <w:r>
              <w:rPr>
                <w:rFonts w:ascii="Times New Roman" w:hAnsi="Times New Roman" w:eastAsia="標楷體"/>
                <w:b w:val="0"/>
                <w:sz w:val="22"/>
              </w:rPr>
              <w:t>1140ms</w:t>
            </w:r>
          </w:p>
        </w:tc>
        <w:tc>
          <w:tcPr>
            <w:tcW w:type="dxa" w:w="737"/>
          </w:tcPr>
          <w:p>
            <w:pPr>
              <w:spacing w:line="276" w:lineRule="auto" w:after="0" w:before="0"/>
              <w:jc w:val="left"/>
            </w:pPr>
            <w:r/>
            <w:r>
              <w:rPr>
                <w:rFonts w:ascii="Times New Roman" w:hAnsi="Times New Roman" w:eastAsia="標楷體"/>
                <w:b w:val="0"/>
                <w:sz w:val="22"/>
              </w:rPr>
              <w:t>2102ms</w:t>
            </w:r>
          </w:p>
        </w:tc>
        <w:tc>
          <w:tcPr>
            <w:tcW w:type="dxa" w:w="737"/>
          </w:tcPr>
          <w:p>
            <w:pPr>
              <w:spacing w:line="276" w:lineRule="auto" w:after="0" w:before="0"/>
              <w:jc w:val="left"/>
            </w:pPr>
            <w:r/>
            <w:r>
              <w:rPr>
                <w:rFonts w:ascii="Times New Roman" w:hAnsi="Times New Roman" w:eastAsia="標楷體"/>
                <w:b w:val="0"/>
                <w:sz w:val="22"/>
              </w:rPr>
              <w:t>2613ms</w:t>
            </w:r>
          </w:p>
        </w:tc>
      </w:tr>
      <w:tr>
        <w:tc>
          <w:tcPr>
            <w:tcW w:type="dxa" w:w="2608"/>
          </w:tcPr>
          <w:p>
            <w:pPr>
              <w:spacing w:line="276" w:lineRule="auto" w:after="0" w:before="0"/>
              <w:jc w:val="left"/>
            </w:pPr>
            <w:r/>
            <w:r>
              <w:rPr>
                <w:rFonts w:ascii="Times New Roman" w:hAnsi="Times New Roman" w:eastAsia="標楷體"/>
                <w:b w:val="0"/>
                <w:sz w:val="22"/>
              </w:rPr>
              <w:t>GET /api/consumable/sites/contract-summary</w:t>
            </w:r>
          </w:p>
        </w:tc>
        <w:tc>
          <w:tcPr>
            <w:tcW w:type="dxa" w:w="850"/>
          </w:tcPr>
          <w:p>
            <w:pPr>
              <w:spacing w:line="276" w:lineRule="auto" w:after="0" w:before="0"/>
              <w:jc w:val="left"/>
            </w:pPr>
            <w:r/>
            <w:r>
              <w:rPr>
                <w:rFonts w:ascii="Times New Roman" w:hAnsi="Times New Roman" w:eastAsia="標楷體"/>
                <w:b w:val="0"/>
                <w:sz w:val="22"/>
              </w:rPr>
              <w:t>621</w:t>
            </w:r>
          </w:p>
        </w:tc>
        <w:tc>
          <w:tcPr>
            <w:tcW w:type="dxa" w:w="737"/>
          </w:tcPr>
          <w:p>
            <w:pPr>
              <w:spacing w:line="276" w:lineRule="auto" w:after="0" w:before="0"/>
              <w:jc w:val="left"/>
            </w:pPr>
            <w:r/>
            <w:r>
              <w:rPr>
                <w:rFonts w:ascii="Times New Roman" w:hAnsi="Times New Roman" w:eastAsia="標楷體"/>
                <w:b w:val="0"/>
                <w:sz w:val="22"/>
              </w:rPr>
              <w:t>31.1</w:t>
            </w:r>
          </w:p>
        </w:tc>
        <w:tc>
          <w:tcPr>
            <w:tcW w:type="dxa" w:w="794"/>
          </w:tcPr>
          <w:p>
            <w:pPr>
              <w:spacing w:line="276" w:lineRule="auto" w:after="0" w:before="0"/>
              <w:jc w:val="left"/>
            </w:pPr>
            <w:r/>
            <w:r>
              <w:rPr>
                <w:rFonts w:ascii="Times New Roman" w:hAnsi="Times New Roman" w:eastAsia="標楷體"/>
                <w:b w:val="0"/>
                <w:sz w:val="22"/>
              </w:rPr>
              <w:t>100%</w:t>
            </w:r>
          </w:p>
        </w:tc>
        <w:tc>
          <w:tcPr>
            <w:tcW w:type="dxa" w:w="907"/>
          </w:tcPr>
          <w:p>
            <w:pPr>
              <w:spacing w:line="276" w:lineRule="auto" w:after="0" w:before="0"/>
              <w:jc w:val="left"/>
            </w:pPr>
            <w:r/>
            <w:r>
              <w:rPr>
                <w:rFonts w:ascii="Times New Roman" w:hAnsi="Times New Roman" w:eastAsia="標楷體"/>
                <w:b w:val="0"/>
                <w:sz w:val="22"/>
              </w:rPr>
              <w:t>0 / 0</w:t>
            </w:r>
          </w:p>
        </w:tc>
        <w:tc>
          <w:tcPr>
            <w:tcW w:type="dxa" w:w="737"/>
          </w:tcPr>
          <w:p>
            <w:pPr>
              <w:spacing w:line="276" w:lineRule="auto" w:after="0" w:before="0"/>
              <w:jc w:val="left"/>
            </w:pPr>
            <w:r/>
            <w:r>
              <w:rPr>
                <w:rFonts w:ascii="Times New Roman" w:hAnsi="Times New Roman" w:eastAsia="標楷體"/>
                <w:b w:val="0"/>
                <w:sz w:val="22"/>
              </w:rPr>
              <w:t>1554ms</w:t>
            </w:r>
          </w:p>
        </w:tc>
        <w:tc>
          <w:tcPr>
            <w:tcW w:type="dxa" w:w="737"/>
          </w:tcPr>
          <w:p>
            <w:pPr>
              <w:spacing w:line="276" w:lineRule="auto" w:after="0" w:before="0"/>
              <w:jc w:val="left"/>
            </w:pPr>
            <w:r/>
            <w:r>
              <w:rPr>
                <w:rFonts w:ascii="Times New Roman" w:hAnsi="Times New Roman" w:eastAsia="標楷體"/>
                <w:b w:val="0"/>
                <w:sz w:val="22"/>
              </w:rPr>
              <w:t>2150ms</w:t>
            </w:r>
          </w:p>
        </w:tc>
        <w:tc>
          <w:tcPr>
            <w:tcW w:type="dxa" w:w="737"/>
          </w:tcPr>
          <w:p>
            <w:pPr>
              <w:spacing w:line="276" w:lineRule="auto" w:after="0" w:before="0"/>
              <w:jc w:val="left"/>
            </w:pPr>
            <w:r/>
            <w:r>
              <w:rPr>
                <w:rFonts w:ascii="Times New Roman" w:hAnsi="Times New Roman" w:eastAsia="標楷體"/>
                <w:b w:val="0"/>
                <w:sz w:val="22"/>
              </w:rPr>
              <w:t>2567ms</w:t>
            </w:r>
          </w:p>
        </w:tc>
      </w:tr>
    </w:tbl>
    <w:p/>
    <w:p>
      <w:pPr>
        <w:spacing w:line="276" w:lineRule="auto" w:after="120" w:before="160"/>
        <w:jc w:val="left"/>
      </w:pPr>
      <w:r>
        <w:rPr>
          <w:rFonts w:ascii="Times New Roman" w:hAnsi="Times New Roman" w:eastAsia="標楷體"/>
          <w:b/>
          <w:sz w:val="28"/>
        </w:rPr>
        <w:t>三、做法二：伺服器本機純承載對照</w:t>
      </w:r>
    </w:p>
    <w:p>
      <w:pPr>
        <w:spacing w:line="276" w:lineRule="auto" w:after="120" w:before="0"/>
        <w:ind w:firstLine="480"/>
        <w:jc w:val="both"/>
      </w:pPr>
      <w:r>
        <w:rPr>
          <w:rFonts w:ascii="Times New Roman" w:hAnsi="Times New Roman" w:eastAsia="標楷體"/>
          <w:b w:val="0"/>
          <w:sz w:val="24"/>
        </w:rPr>
        <w:t>於伺服器本機打 localhost，排除網路延遲。三端點 50 併發皆 100% 通過，最大回應 2.649 秒。與做法一相比，選單端點因無網路延遲而 RPS 大幅提升（153.7 → 354.7）、平均回應降至 140ms，顯示做法一之較高延遲主要來自網路往返而非系統承載，系統本身尚有餘裕。</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21"/>
            <w:shd w:val="clear" w:color="auto" w:fill="D9E2F3"/>
          </w:tcPr>
          <w:p>
            <w:pPr>
              <w:spacing w:line="276" w:lineRule="auto" w:after="0" w:before="0"/>
              <w:jc w:val="left"/>
            </w:pPr>
            <w:r/>
            <w:r>
              <w:rPr>
                <w:rFonts w:ascii="Times New Roman" w:hAnsi="Times New Roman" w:eastAsia="標楷體"/>
                <w:b/>
                <w:sz w:val="22"/>
              </w:rPr>
              <w:t>端點</w:t>
            </w:r>
          </w:p>
        </w:tc>
        <w:tc>
          <w:tcPr>
            <w:tcW w:type="dxa" w:w="907"/>
            <w:shd w:val="clear" w:color="auto" w:fill="D9E2F3"/>
          </w:tcPr>
          <w:p>
            <w:pPr>
              <w:spacing w:line="276" w:lineRule="auto" w:after="0" w:before="0"/>
              <w:jc w:val="left"/>
            </w:pPr>
            <w:r/>
            <w:r>
              <w:rPr>
                <w:rFonts w:ascii="Times New Roman" w:hAnsi="Times New Roman" w:eastAsia="標楷體"/>
                <w:b/>
                <w:sz w:val="22"/>
              </w:rPr>
              <w:t>請求數</w:t>
            </w:r>
          </w:p>
        </w:tc>
        <w:tc>
          <w:tcPr>
            <w:tcW w:type="dxa" w:w="794"/>
            <w:shd w:val="clear" w:color="auto" w:fill="D9E2F3"/>
          </w:tcPr>
          <w:p>
            <w:pPr>
              <w:spacing w:line="276" w:lineRule="auto" w:after="0" w:before="0"/>
              <w:jc w:val="left"/>
            </w:pPr>
            <w:r/>
            <w:r>
              <w:rPr>
                <w:rFonts w:ascii="Times New Roman" w:hAnsi="Times New Roman" w:eastAsia="標楷體"/>
                <w:b/>
                <w:sz w:val="22"/>
              </w:rPr>
              <w:t>RPS</w:t>
            </w:r>
          </w:p>
        </w:tc>
        <w:tc>
          <w:tcPr>
            <w:tcW w:type="dxa" w:w="850"/>
            <w:shd w:val="clear" w:color="auto" w:fill="D9E2F3"/>
          </w:tcPr>
          <w:p>
            <w:pPr>
              <w:spacing w:line="276" w:lineRule="auto" w:after="0" w:before="0"/>
              <w:jc w:val="left"/>
            </w:pPr>
            <w:r/>
            <w:r>
              <w:rPr>
                <w:rFonts w:ascii="Times New Roman" w:hAnsi="Times New Roman" w:eastAsia="標楷體"/>
                <w:b/>
                <w:sz w:val="22"/>
              </w:rPr>
              <w:t>通過率</w:t>
            </w:r>
          </w:p>
        </w:tc>
        <w:tc>
          <w:tcPr>
            <w:tcW w:type="dxa" w:w="850"/>
            <w:shd w:val="clear" w:color="auto" w:fill="D9E2F3"/>
          </w:tcPr>
          <w:p>
            <w:pPr>
              <w:spacing w:line="276" w:lineRule="auto" w:after="0" w:before="0"/>
              <w:jc w:val="left"/>
            </w:pPr>
            <w:r/>
            <w:r>
              <w:rPr>
                <w:rFonts w:ascii="Times New Roman" w:hAnsi="Times New Roman" w:eastAsia="標楷體"/>
                <w:b/>
                <w:sz w:val="22"/>
              </w:rPr>
              <w:t>avg</w:t>
            </w:r>
          </w:p>
        </w:tc>
        <w:tc>
          <w:tcPr>
            <w:tcW w:type="dxa" w:w="850"/>
            <w:shd w:val="clear" w:color="auto" w:fill="D9E2F3"/>
          </w:tcPr>
          <w:p>
            <w:pPr>
              <w:spacing w:line="276" w:lineRule="auto" w:after="0" w:before="0"/>
              <w:jc w:val="left"/>
            </w:pPr>
            <w:r/>
            <w:r>
              <w:rPr>
                <w:rFonts w:ascii="Times New Roman" w:hAnsi="Times New Roman" w:eastAsia="標楷體"/>
                <w:b/>
                <w:sz w:val="22"/>
              </w:rPr>
              <w:t>p99</w:t>
            </w:r>
          </w:p>
        </w:tc>
        <w:tc>
          <w:tcPr>
            <w:tcW w:type="dxa" w:w="850"/>
            <w:shd w:val="clear" w:color="auto" w:fill="D9E2F3"/>
          </w:tcPr>
          <w:p>
            <w:pPr>
              <w:spacing w:line="276" w:lineRule="auto" w:after="0" w:before="0"/>
              <w:jc w:val="left"/>
            </w:pPr>
            <w:r/>
            <w:r>
              <w:rPr>
                <w:rFonts w:ascii="Times New Roman" w:hAnsi="Times New Roman" w:eastAsia="標楷體"/>
                <w:b/>
                <w:sz w:val="22"/>
              </w:rPr>
              <w:t>max</w:t>
            </w:r>
          </w:p>
        </w:tc>
      </w:tr>
      <w:tr>
        <w:tc>
          <w:tcPr>
            <w:tcW w:type="dxa" w:w="2721"/>
          </w:tcPr>
          <w:p>
            <w:pPr>
              <w:spacing w:line="276" w:lineRule="auto" w:after="0" w:before="0"/>
              <w:jc w:val="left"/>
            </w:pPr>
            <w:r/>
            <w:r>
              <w:rPr>
                <w:rFonts w:ascii="Times New Roman" w:hAnsi="Times New Roman" w:eastAsia="標楷體"/>
                <w:b w:val="0"/>
                <w:sz w:val="22"/>
              </w:rPr>
              <w:t>GET /api/menu/me</w:t>
            </w:r>
          </w:p>
        </w:tc>
        <w:tc>
          <w:tcPr>
            <w:tcW w:type="dxa" w:w="907"/>
          </w:tcPr>
          <w:p>
            <w:pPr>
              <w:spacing w:line="276" w:lineRule="auto" w:after="0" w:before="0"/>
              <w:jc w:val="left"/>
            </w:pPr>
            <w:r/>
            <w:r>
              <w:rPr>
                <w:rFonts w:ascii="Times New Roman" w:hAnsi="Times New Roman" w:eastAsia="標楷體"/>
                <w:b w:val="0"/>
                <w:sz w:val="22"/>
              </w:rPr>
              <w:t>7094</w:t>
            </w:r>
          </w:p>
        </w:tc>
        <w:tc>
          <w:tcPr>
            <w:tcW w:type="dxa" w:w="794"/>
          </w:tcPr>
          <w:p>
            <w:pPr>
              <w:spacing w:line="276" w:lineRule="auto" w:after="0" w:before="0"/>
              <w:jc w:val="left"/>
            </w:pPr>
            <w:r/>
            <w:r>
              <w:rPr>
                <w:rFonts w:ascii="Times New Roman" w:hAnsi="Times New Roman" w:eastAsia="標楷體"/>
                <w:b w:val="0"/>
                <w:sz w:val="22"/>
              </w:rPr>
              <w:t>354.7</w:t>
            </w:r>
          </w:p>
        </w:tc>
        <w:tc>
          <w:tcPr>
            <w:tcW w:type="dxa" w:w="850"/>
          </w:tcPr>
          <w:p>
            <w:pPr>
              <w:spacing w:line="276" w:lineRule="auto" w:after="0" w:before="0"/>
              <w:jc w:val="left"/>
            </w:pPr>
            <w:r/>
            <w:r>
              <w:rPr>
                <w:rFonts w:ascii="Times New Roman" w:hAnsi="Times New Roman" w:eastAsia="標楷體"/>
                <w:b w:val="0"/>
                <w:sz w:val="22"/>
              </w:rPr>
              <w:t>100%</w:t>
            </w:r>
          </w:p>
        </w:tc>
        <w:tc>
          <w:tcPr>
            <w:tcW w:type="dxa" w:w="850"/>
          </w:tcPr>
          <w:p>
            <w:pPr>
              <w:spacing w:line="276" w:lineRule="auto" w:after="0" w:before="0"/>
              <w:jc w:val="left"/>
            </w:pPr>
            <w:r/>
            <w:r>
              <w:rPr>
                <w:rFonts w:ascii="Times New Roman" w:hAnsi="Times New Roman" w:eastAsia="標楷體"/>
                <w:b w:val="0"/>
                <w:sz w:val="22"/>
              </w:rPr>
              <w:t>140ms</w:t>
            </w:r>
          </w:p>
        </w:tc>
        <w:tc>
          <w:tcPr>
            <w:tcW w:type="dxa" w:w="850"/>
          </w:tcPr>
          <w:p>
            <w:pPr>
              <w:spacing w:line="276" w:lineRule="auto" w:after="0" w:before="0"/>
              <w:jc w:val="left"/>
            </w:pPr>
            <w:r/>
            <w:r>
              <w:rPr>
                <w:rFonts w:ascii="Times New Roman" w:hAnsi="Times New Roman" w:eastAsia="標楷體"/>
                <w:b w:val="0"/>
                <w:sz w:val="22"/>
              </w:rPr>
              <w:t>259ms</w:t>
            </w:r>
          </w:p>
        </w:tc>
        <w:tc>
          <w:tcPr>
            <w:tcW w:type="dxa" w:w="850"/>
          </w:tcPr>
          <w:p>
            <w:pPr>
              <w:spacing w:line="276" w:lineRule="auto" w:after="0" w:before="0"/>
              <w:jc w:val="left"/>
            </w:pPr>
            <w:r/>
            <w:r>
              <w:rPr>
                <w:rFonts w:ascii="Times New Roman" w:hAnsi="Times New Roman" w:eastAsia="標楷體"/>
                <w:b w:val="0"/>
                <w:sz w:val="22"/>
              </w:rPr>
              <w:t>463ms</w:t>
            </w:r>
          </w:p>
        </w:tc>
      </w:tr>
      <w:tr>
        <w:tc>
          <w:tcPr>
            <w:tcW w:type="dxa" w:w="2721"/>
          </w:tcPr>
          <w:p>
            <w:pPr>
              <w:spacing w:line="276" w:lineRule="auto" w:after="0" w:before="0"/>
              <w:jc w:val="left"/>
            </w:pPr>
            <w:r/>
            <w:r>
              <w:rPr>
                <w:rFonts w:ascii="Times New Roman" w:hAnsi="Times New Roman" w:eastAsia="標楷體"/>
                <w:b w:val="0"/>
                <w:sz w:val="22"/>
              </w:rPr>
              <w:t>GET /api/consumable/items</w:t>
            </w:r>
          </w:p>
        </w:tc>
        <w:tc>
          <w:tcPr>
            <w:tcW w:type="dxa" w:w="907"/>
          </w:tcPr>
          <w:p>
            <w:pPr>
              <w:spacing w:line="276" w:lineRule="auto" w:after="0" w:before="0"/>
              <w:jc w:val="left"/>
            </w:pPr>
            <w:r/>
            <w:r>
              <w:rPr>
                <w:rFonts w:ascii="Times New Roman" w:hAnsi="Times New Roman" w:eastAsia="標楷體"/>
                <w:b w:val="0"/>
                <w:sz w:val="22"/>
              </w:rPr>
              <w:t>957</w:t>
            </w:r>
          </w:p>
        </w:tc>
        <w:tc>
          <w:tcPr>
            <w:tcW w:type="dxa" w:w="794"/>
          </w:tcPr>
          <w:p>
            <w:pPr>
              <w:spacing w:line="276" w:lineRule="auto" w:after="0" w:before="0"/>
              <w:jc w:val="left"/>
            </w:pPr>
            <w:r/>
            <w:r>
              <w:rPr>
                <w:rFonts w:ascii="Times New Roman" w:hAnsi="Times New Roman" w:eastAsia="標楷體"/>
                <w:b w:val="0"/>
                <w:sz w:val="22"/>
              </w:rPr>
              <w:t>47.9</w:t>
            </w:r>
          </w:p>
        </w:tc>
        <w:tc>
          <w:tcPr>
            <w:tcW w:type="dxa" w:w="850"/>
          </w:tcPr>
          <w:p>
            <w:pPr>
              <w:spacing w:line="276" w:lineRule="auto" w:after="0" w:before="0"/>
              <w:jc w:val="left"/>
            </w:pPr>
            <w:r/>
            <w:r>
              <w:rPr>
                <w:rFonts w:ascii="Times New Roman" w:hAnsi="Times New Roman" w:eastAsia="標楷體"/>
                <w:b w:val="0"/>
                <w:sz w:val="22"/>
              </w:rPr>
              <w:t>100%</w:t>
            </w:r>
          </w:p>
        </w:tc>
        <w:tc>
          <w:tcPr>
            <w:tcW w:type="dxa" w:w="850"/>
          </w:tcPr>
          <w:p>
            <w:pPr>
              <w:spacing w:line="276" w:lineRule="auto" w:after="0" w:before="0"/>
              <w:jc w:val="left"/>
            </w:pPr>
            <w:r/>
            <w:r>
              <w:rPr>
                <w:rFonts w:ascii="Times New Roman" w:hAnsi="Times New Roman" w:eastAsia="標楷體"/>
                <w:b w:val="0"/>
                <w:sz w:val="22"/>
              </w:rPr>
              <w:t>1008ms</w:t>
            </w:r>
          </w:p>
        </w:tc>
        <w:tc>
          <w:tcPr>
            <w:tcW w:type="dxa" w:w="850"/>
          </w:tcPr>
          <w:p>
            <w:pPr>
              <w:spacing w:line="276" w:lineRule="auto" w:after="0" w:before="0"/>
              <w:jc w:val="left"/>
            </w:pPr>
            <w:r/>
            <w:r>
              <w:rPr>
                <w:rFonts w:ascii="Times New Roman" w:hAnsi="Times New Roman" w:eastAsia="標楷體"/>
                <w:b w:val="0"/>
                <w:sz w:val="22"/>
              </w:rPr>
              <w:t>1218ms</w:t>
            </w:r>
          </w:p>
        </w:tc>
        <w:tc>
          <w:tcPr>
            <w:tcW w:type="dxa" w:w="850"/>
          </w:tcPr>
          <w:p>
            <w:pPr>
              <w:spacing w:line="276" w:lineRule="auto" w:after="0" w:before="0"/>
              <w:jc w:val="left"/>
            </w:pPr>
            <w:r/>
            <w:r>
              <w:rPr>
                <w:rFonts w:ascii="Times New Roman" w:hAnsi="Times New Roman" w:eastAsia="標楷體"/>
                <w:b w:val="0"/>
                <w:sz w:val="22"/>
              </w:rPr>
              <w:t>1325ms</w:t>
            </w:r>
          </w:p>
        </w:tc>
      </w:tr>
      <w:tr>
        <w:tc>
          <w:tcPr>
            <w:tcW w:type="dxa" w:w="2721"/>
          </w:tcPr>
          <w:p>
            <w:pPr>
              <w:spacing w:line="276" w:lineRule="auto" w:after="0" w:before="0"/>
              <w:jc w:val="left"/>
            </w:pPr>
            <w:r/>
            <w:r>
              <w:rPr>
                <w:rFonts w:ascii="Times New Roman" w:hAnsi="Times New Roman" w:eastAsia="標楷體"/>
                <w:b w:val="0"/>
                <w:sz w:val="22"/>
              </w:rPr>
              <w:t>GET /api/consumable/sites/contract-summary</w:t>
            </w:r>
          </w:p>
        </w:tc>
        <w:tc>
          <w:tcPr>
            <w:tcW w:type="dxa" w:w="907"/>
          </w:tcPr>
          <w:p>
            <w:pPr>
              <w:spacing w:line="276" w:lineRule="auto" w:after="0" w:before="0"/>
              <w:jc w:val="left"/>
            </w:pPr>
            <w:r/>
            <w:r>
              <w:rPr>
                <w:rFonts w:ascii="Times New Roman" w:hAnsi="Times New Roman" w:eastAsia="標楷體"/>
                <w:b w:val="0"/>
                <w:sz w:val="22"/>
              </w:rPr>
              <w:t>626</w:t>
            </w:r>
          </w:p>
        </w:tc>
        <w:tc>
          <w:tcPr>
            <w:tcW w:type="dxa" w:w="794"/>
          </w:tcPr>
          <w:p>
            <w:pPr>
              <w:spacing w:line="276" w:lineRule="auto" w:after="0" w:before="0"/>
              <w:jc w:val="left"/>
            </w:pPr>
            <w:r/>
            <w:r>
              <w:rPr>
                <w:rFonts w:ascii="Times New Roman" w:hAnsi="Times New Roman" w:eastAsia="標楷體"/>
                <w:b w:val="0"/>
                <w:sz w:val="22"/>
              </w:rPr>
              <w:t>31.3</w:t>
            </w:r>
          </w:p>
        </w:tc>
        <w:tc>
          <w:tcPr>
            <w:tcW w:type="dxa" w:w="850"/>
          </w:tcPr>
          <w:p>
            <w:pPr>
              <w:spacing w:line="276" w:lineRule="auto" w:after="0" w:before="0"/>
              <w:jc w:val="left"/>
            </w:pPr>
            <w:r/>
            <w:r>
              <w:rPr>
                <w:rFonts w:ascii="Times New Roman" w:hAnsi="Times New Roman" w:eastAsia="標楷體"/>
                <w:b w:val="0"/>
                <w:sz w:val="22"/>
              </w:rPr>
              <w:t>100%</w:t>
            </w:r>
          </w:p>
        </w:tc>
        <w:tc>
          <w:tcPr>
            <w:tcW w:type="dxa" w:w="850"/>
          </w:tcPr>
          <w:p>
            <w:pPr>
              <w:spacing w:line="276" w:lineRule="auto" w:after="0" w:before="0"/>
              <w:jc w:val="left"/>
            </w:pPr>
            <w:r/>
            <w:r>
              <w:rPr>
                <w:rFonts w:ascii="Times New Roman" w:hAnsi="Times New Roman" w:eastAsia="標楷體"/>
                <w:b w:val="0"/>
                <w:sz w:val="22"/>
              </w:rPr>
              <w:t>1539ms</w:t>
            </w:r>
          </w:p>
        </w:tc>
        <w:tc>
          <w:tcPr>
            <w:tcW w:type="dxa" w:w="850"/>
          </w:tcPr>
          <w:p>
            <w:pPr>
              <w:spacing w:line="276" w:lineRule="auto" w:after="0" w:before="0"/>
              <w:jc w:val="left"/>
            </w:pPr>
            <w:r/>
            <w:r>
              <w:rPr>
                <w:rFonts w:ascii="Times New Roman" w:hAnsi="Times New Roman" w:eastAsia="標楷體"/>
                <w:b w:val="0"/>
                <w:sz w:val="22"/>
              </w:rPr>
              <w:t>2231ms</w:t>
            </w:r>
          </w:p>
        </w:tc>
        <w:tc>
          <w:tcPr>
            <w:tcW w:type="dxa" w:w="850"/>
          </w:tcPr>
          <w:p>
            <w:pPr>
              <w:spacing w:line="276" w:lineRule="auto" w:after="0" w:before="0"/>
              <w:jc w:val="left"/>
            </w:pPr>
            <w:r/>
            <w:r>
              <w:rPr>
                <w:rFonts w:ascii="Times New Roman" w:hAnsi="Times New Roman" w:eastAsia="標楷體"/>
                <w:b w:val="0"/>
                <w:sz w:val="22"/>
              </w:rPr>
              <w:t>2649ms</w:t>
            </w:r>
          </w:p>
        </w:tc>
      </w:tr>
    </w:tbl>
    <w:p/>
    <w:p>
      <w:pPr>
        <w:spacing w:line="276" w:lineRule="auto" w:after="120" w:before="160"/>
        <w:jc w:val="left"/>
      </w:pPr>
      <w:r>
        <w:rPr>
          <w:rFonts w:ascii="Times New Roman" w:hAnsi="Times New Roman" w:eastAsia="標楷體"/>
          <w:b/>
          <w:sz w:val="28"/>
        </w:rPr>
        <w:t>四、回應時間分析</w:t>
      </w:r>
    </w:p>
    <w:p>
      <w:pPr>
        <w:spacing w:line="276" w:lineRule="auto" w:after="120" w:before="0"/>
        <w:ind w:firstLine="480"/>
        <w:jc w:val="both"/>
      </w:pPr>
      <w:r>
        <w:rPr>
          <w:rFonts w:ascii="Times New Roman" w:hAnsi="Times New Roman" w:eastAsia="標楷體"/>
          <w:b w:val="0"/>
          <w:sz w:val="24"/>
        </w:rPr>
        <w:t>兩種做法之 50 併發測試均達成 100% 通過率、0 錯誤 0 逾時，且以最嚴苛之「最大回應時間」計，做法一為 2.613 秒、做法二為 2.649 秒，皆遠低於 5 秒之目標門檻。指標三、四同時達標。</w:t>
      </w:r>
    </w:p>
    <w:p>
      <w:pPr>
        <w:spacing w:line="276" w:lineRule="auto" w:after="120" w:before="0"/>
        <w:ind w:firstLine="480"/>
        <w:jc w:val="both"/>
      </w:pPr>
      <w:r>
        <w:rPr>
          <w:rFonts w:ascii="Times New Roman" w:hAnsi="Times New Roman" w:eastAsia="標楷體"/>
          <w:b w:val="0"/>
          <w:sz w:val="24"/>
        </w:rPr>
        <w:t>另據既有效能實測（PERFORMANCE.md）佐證：一般查詢介面於服務暖機（預熱）後回應 &lt; 100 毫秒、冷啟動（服務剛啟動、尚未預熱之狀態）最慢 &lt; 3 秒；報表效能測試之 39 張報表產出亦全數 &lt; 3 秒。須再次強調，上述數據取自資源受限且多服務混跑之開發機，屬保守下限，正式獨佔環境之回應時間與併發承載將優於本報告所載。</w:t>
      </w:r>
    </w:p>
    <w:p>
      <w:r>
        <w:br w:type="page"/>
      </w:r>
    </w:p>
    <w:p>
      <w:pPr>
        <w:spacing w:line="276" w:lineRule="auto" w:after="160" w:before="280"/>
        <w:jc w:val="left"/>
      </w:pPr>
      <w:r>
        <w:rPr>
          <w:rFonts w:ascii="Times New Roman" w:hAnsi="Times New Roman" w:eastAsia="標楷體"/>
          <w:b/>
          <w:color w:val="1F3A5F"/>
          <w:sz w:val="28"/>
        </w:rPr>
        <w:t>拾壹、待補測項目</w:t>
      </w:r>
    </w:p>
    <w:p>
      <w:pPr>
        <w:spacing w:line="276" w:lineRule="auto" w:after="120" w:before="0"/>
        <w:ind w:firstLine="480"/>
        <w:jc w:val="both"/>
      </w:pPr>
      <w:r>
        <w:rPr>
          <w:rFonts w:ascii="Times New Roman" w:hAnsi="Times New Roman" w:eastAsia="標楷體"/>
          <w:b w:val="0"/>
          <w:sz w:val="24"/>
        </w:rPr>
        <w:t>基於「不以未完成計為完成」之誠實原則，以下測項因需資料庫連線或正式環境，本次於本機／外部無法執行，據實列出並標明補測時機。此等項目屬環境限制，非測試失敗；其對應功能之邏輯已於整合測試中以 mock 資料驗證，惟與真實資料庫之串接尚待正式環境補測。</w:t>
      </w:r>
    </w:p>
    <w:p>
      <w:pPr>
        <w:spacing w:line="276" w:lineRule="auto" w:after="120" w:before="160"/>
        <w:jc w:val="left"/>
      </w:pPr>
      <w:r>
        <w:rPr>
          <w:rFonts w:ascii="Times New Roman" w:hAnsi="Times New Roman" w:eastAsia="標楷體"/>
          <w:b/>
          <w:sz w:val="28"/>
        </w:rPr>
        <w:t>一、需資料庫連線之測項</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D9E2F3"/>
          </w:tcPr>
          <w:p>
            <w:pPr>
              <w:spacing w:line="276" w:lineRule="auto" w:after="0" w:before="0"/>
              <w:jc w:val="left"/>
            </w:pPr>
            <w:r/>
            <w:r>
              <w:rPr>
                <w:rFonts w:ascii="Times New Roman" w:hAnsi="Times New Roman" w:eastAsia="標楷體"/>
                <w:b/>
                <w:sz w:val="22"/>
              </w:rPr>
              <w:t>待補測項</w:t>
            </w:r>
          </w:p>
        </w:tc>
        <w:tc>
          <w:tcPr>
            <w:tcW w:type="dxa" w:w="3515"/>
            <w:shd w:val="clear" w:color="auto" w:fill="D9E2F3"/>
          </w:tcPr>
          <w:p>
            <w:pPr>
              <w:spacing w:line="276" w:lineRule="auto" w:after="0" w:before="0"/>
              <w:jc w:val="left"/>
            </w:pPr>
            <w:r/>
            <w:r>
              <w:rPr>
                <w:rFonts w:ascii="Times New Roman" w:hAnsi="Times New Roman" w:eastAsia="標楷體"/>
                <w:b/>
                <w:sz w:val="22"/>
              </w:rPr>
              <w:t>性質</w:t>
            </w:r>
          </w:p>
        </w:tc>
        <w:tc>
          <w:tcPr>
            <w:tcW w:type="dxa" w:w="1474"/>
            <w:shd w:val="clear" w:color="auto" w:fill="D9E2F3"/>
          </w:tcPr>
          <w:p>
            <w:pPr>
              <w:spacing w:line="276" w:lineRule="auto" w:after="0" w:before="0"/>
              <w:jc w:val="left"/>
            </w:pPr>
            <w:r/>
            <w:r>
              <w:rPr>
                <w:rFonts w:ascii="Times New Roman" w:hAnsi="Times New Roman" w:eastAsia="標楷體"/>
                <w:b/>
                <w:sz w:val="22"/>
              </w:rPr>
              <w:t>補測時機</w:t>
            </w:r>
          </w:p>
        </w:tc>
      </w:tr>
      <w:tr>
        <w:tc>
          <w:tcPr>
            <w:tcW w:type="dxa" w:w="2835"/>
          </w:tcPr>
          <w:p>
            <w:pPr>
              <w:spacing w:line="276" w:lineRule="auto" w:after="0" w:before="0"/>
              <w:jc w:val="left"/>
            </w:pPr>
            <w:r/>
            <w:r>
              <w:rPr>
                <w:rFonts w:ascii="Times New Roman" w:hAnsi="Times New Roman" w:eastAsia="標楷體"/>
                <w:b w:val="0"/>
                <w:sz w:val="22"/>
              </w:rPr>
              <w:t>db-dialect 雙寫實測（26 案例）</w:t>
            </w:r>
          </w:p>
        </w:tc>
        <w:tc>
          <w:tcPr>
            <w:tcW w:type="dxa" w:w="3515"/>
          </w:tcPr>
          <w:p>
            <w:pPr>
              <w:spacing w:line="276" w:lineRule="auto" w:after="0" w:before="0"/>
              <w:jc w:val="left"/>
            </w:pPr>
            <w:r/>
            <w:r>
              <w:rPr>
                <w:rFonts w:ascii="Times New Roman" w:hAnsi="Times New Roman" w:eastAsia="標楷體"/>
                <w:b w:val="0"/>
                <w:sz w:val="22"/>
              </w:rPr>
              <w:t>需連線資料庫驗證雙語系 SQL 實際結果</w:t>
            </w:r>
          </w:p>
        </w:tc>
        <w:tc>
          <w:tcPr>
            <w:tcW w:type="dxa" w:w="1474"/>
          </w:tcPr>
          <w:p>
            <w:pPr>
              <w:spacing w:line="276" w:lineRule="auto" w:after="0" w:before="0"/>
              <w:jc w:val="left"/>
            </w:pPr>
            <w:r/>
            <w:r>
              <w:rPr>
                <w:rFonts w:ascii="Times New Roman" w:hAnsi="Times New Roman" w:eastAsia="標楷體"/>
                <w:b w:val="0"/>
                <w:sz w:val="22"/>
              </w:rPr>
              <w:t>待 DC 機／正式環境補測</w:t>
            </w:r>
          </w:p>
        </w:tc>
      </w:tr>
      <w:tr>
        <w:tc>
          <w:tcPr>
            <w:tcW w:type="dxa" w:w="2835"/>
          </w:tcPr>
          <w:p>
            <w:pPr>
              <w:spacing w:line="276" w:lineRule="auto" w:after="0" w:before="0"/>
              <w:jc w:val="left"/>
            </w:pPr>
            <w:r/>
            <w:r>
              <w:rPr>
                <w:rFonts w:ascii="Times New Roman" w:hAnsi="Times New Roman" w:eastAsia="標楷體"/>
                <w:b w:val="0"/>
                <w:sz w:val="22"/>
              </w:rPr>
              <w:t>leave.service 測試（21 案例）</w:t>
            </w:r>
          </w:p>
        </w:tc>
        <w:tc>
          <w:tcPr>
            <w:tcW w:type="dxa" w:w="3515"/>
          </w:tcPr>
          <w:p>
            <w:pPr>
              <w:spacing w:line="276" w:lineRule="auto" w:after="0" w:before="0"/>
              <w:jc w:val="left"/>
            </w:pPr>
            <w:r/>
            <w:r>
              <w:rPr>
                <w:rFonts w:ascii="Times New Roman" w:hAnsi="Times New Roman" w:eastAsia="標楷體"/>
                <w:b w:val="0"/>
                <w:sz w:val="22"/>
              </w:rPr>
              <w:t>需資料庫之請假服務測試</w:t>
            </w:r>
          </w:p>
        </w:tc>
        <w:tc>
          <w:tcPr>
            <w:tcW w:type="dxa" w:w="1474"/>
          </w:tcPr>
          <w:p>
            <w:pPr>
              <w:spacing w:line="276" w:lineRule="auto" w:after="0" w:before="0"/>
              <w:jc w:val="left"/>
            </w:pPr>
            <w:r/>
            <w:r>
              <w:rPr>
                <w:rFonts w:ascii="Times New Roman" w:hAnsi="Times New Roman" w:eastAsia="標楷體"/>
                <w:b w:val="0"/>
                <w:sz w:val="22"/>
              </w:rPr>
              <w:t>待 DC 機／正式環境補測</w:t>
            </w:r>
          </w:p>
        </w:tc>
      </w:tr>
      <w:tr>
        <w:tc>
          <w:tcPr>
            <w:tcW w:type="dxa" w:w="2835"/>
          </w:tcPr>
          <w:p>
            <w:pPr>
              <w:spacing w:line="276" w:lineRule="auto" w:after="0" w:before="0"/>
              <w:jc w:val="left"/>
            </w:pPr>
            <w:r/>
            <w:r>
              <w:rPr>
                <w:rFonts w:ascii="Times New Roman" w:hAnsi="Times New Roman" w:eastAsia="標楷體"/>
                <w:b w:val="0"/>
                <w:sz w:val="22"/>
              </w:rPr>
              <w:t>audit:reports 報表對齊（37 支 RPT_ SP）</w:t>
            </w:r>
          </w:p>
        </w:tc>
        <w:tc>
          <w:tcPr>
            <w:tcW w:type="dxa" w:w="3515"/>
          </w:tcPr>
          <w:p>
            <w:pPr>
              <w:spacing w:line="276" w:lineRule="auto" w:after="0" w:before="0"/>
              <w:jc w:val="left"/>
            </w:pPr>
            <w:r/>
            <w:r>
              <w:rPr>
                <w:rFonts w:ascii="Times New Roman" w:hAnsi="Times New Roman" w:eastAsia="標楷體"/>
                <w:b w:val="0"/>
                <w:sz w:val="22"/>
              </w:rPr>
              <w:t>需連舊 DB 抽取 SP 定義為 ground truth</w:t>
            </w:r>
          </w:p>
        </w:tc>
        <w:tc>
          <w:tcPr>
            <w:tcW w:type="dxa" w:w="1474"/>
          </w:tcPr>
          <w:p>
            <w:pPr>
              <w:spacing w:line="276" w:lineRule="auto" w:after="0" w:before="0"/>
              <w:jc w:val="left"/>
            </w:pPr>
            <w:r/>
            <w:r>
              <w:rPr>
                <w:rFonts w:ascii="Times New Roman" w:hAnsi="Times New Roman" w:eastAsia="標楷體"/>
                <w:b w:val="0"/>
                <w:sz w:val="22"/>
              </w:rPr>
              <w:t>待正式環境補測</w:t>
            </w:r>
          </w:p>
        </w:tc>
      </w:tr>
      <w:tr>
        <w:tc>
          <w:tcPr>
            <w:tcW w:type="dxa" w:w="2835"/>
          </w:tcPr>
          <w:p>
            <w:pPr>
              <w:spacing w:line="276" w:lineRule="auto" w:after="0" w:before="0"/>
              <w:jc w:val="left"/>
            </w:pPr>
            <w:r/>
            <w:r>
              <w:rPr>
                <w:rFonts w:ascii="Times New Roman" w:hAnsi="Times New Roman" w:eastAsia="標楷體"/>
                <w:b w:val="0"/>
                <w:sz w:val="22"/>
              </w:rPr>
              <w:t>audit:business-sps 業務 SP 對齊</w:t>
            </w:r>
          </w:p>
        </w:tc>
        <w:tc>
          <w:tcPr>
            <w:tcW w:type="dxa" w:w="3515"/>
          </w:tcPr>
          <w:p>
            <w:pPr>
              <w:spacing w:line="276" w:lineRule="auto" w:after="0" w:before="0"/>
              <w:jc w:val="left"/>
            </w:pPr>
            <w:r/>
            <w:r>
              <w:rPr>
                <w:rFonts w:ascii="Times New Roman" w:hAnsi="Times New Roman" w:eastAsia="標楷體"/>
                <w:b w:val="0"/>
                <w:sz w:val="22"/>
              </w:rPr>
              <w:t>需資料庫比對業務 SP 與新 handler</w:t>
            </w:r>
          </w:p>
        </w:tc>
        <w:tc>
          <w:tcPr>
            <w:tcW w:type="dxa" w:w="1474"/>
          </w:tcPr>
          <w:p>
            <w:pPr>
              <w:spacing w:line="276" w:lineRule="auto" w:after="0" w:before="0"/>
              <w:jc w:val="left"/>
            </w:pPr>
            <w:r/>
            <w:r>
              <w:rPr>
                <w:rFonts w:ascii="Times New Roman" w:hAnsi="Times New Roman" w:eastAsia="標楷體"/>
                <w:b w:val="0"/>
                <w:sz w:val="22"/>
              </w:rPr>
              <w:t>待正式環境補測</w:t>
            </w:r>
          </w:p>
        </w:tc>
      </w:tr>
      <w:tr>
        <w:tc>
          <w:tcPr>
            <w:tcW w:type="dxa" w:w="2835"/>
          </w:tcPr>
          <w:p>
            <w:pPr>
              <w:spacing w:line="276" w:lineRule="auto" w:after="0" w:before="0"/>
              <w:jc w:val="left"/>
            </w:pPr>
            <w:r/>
            <w:r>
              <w:rPr>
                <w:rFonts w:ascii="Times New Roman" w:hAnsi="Times New Roman" w:eastAsia="標楷體"/>
                <w:b w:val="0"/>
                <w:sz w:val="22"/>
              </w:rPr>
              <w:t>audit:site-contract</w:t>
            </w:r>
          </w:p>
        </w:tc>
        <w:tc>
          <w:tcPr>
            <w:tcW w:type="dxa" w:w="3515"/>
          </w:tcPr>
          <w:p>
            <w:pPr>
              <w:spacing w:line="276" w:lineRule="auto" w:after="0" w:before="0"/>
              <w:jc w:val="left"/>
            </w:pPr>
            <w:r/>
            <w:r>
              <w:rPr>
                <w:rFonts w:ascii="Times New Roman" w:hAnsi="Times New Roman" w:eastAsia="標楷體"/>
                <w:b w:val="0"/>
                <w:sz w:val="22"/>
              </w:rPr>
              <w:t>需資料庫驗證場域—合約關聯</w:t>
            </w:r>
          </w:p>
        </w:tc>
        <w:tc>
          <w:tcPr>
            <w:tcW w:type="dxa" w:w="1474"/>
          </w:tcPr>
          <w:p>
            <w:pPr>
              <w:spacing w:line="276" w:lineRule="auto" w:after="0" w:before="0"/>
              <w:jc w:val="left"/>
            </w:pPr>
            <w:r/>
            <w:r>
              <w:rPr>
                <w:rFonts w:ascii="Times New Roman" w:hAnsi="Times New Roman" w:eastAsia="標楷體"/>
                <w:b w:val="0"/>
                <w:sz w:val="22"/>
              </w:rPr>
              <w:t>待正式環境補測</w:t>
            </w:r>
          </w:p>
        </w:tc>
      </w:tr>
      <w:tr>
        <w:tc>
          <w:tcPr>
            <w:tcW w:type="dxa" w:w="2835"/>
          </w:tcPr>
          <w:p>
            <w:pPr>
              <w:spacing w:line="276" w:lineRule="auto" w:after="0" w:before="0"/>
              <w:jc w:val="left"/>
            </w:pPr>
            <w:r/>
            <w:r>
              <w:rPr>
                <w:rFonts w:ascii="Times New Roman" w:hAnsi="Times New Roman" w:eastAsia="標楷體"/>
                <w:b w:val="0"/>
                <w:sz w:val="22"/>
              </w:rPr>
              <w:t>verify:multi-contract</w:t>
            </w:r>
          </w:p>
        </w:tc>
        <w:tc>
          <w:tcPr>
            <w:tcW w:type="dxa" w:w="3515"/>
          </w:tcPr>
          <w:p>
            <w:pPr>
              <w:spacing w:line="276" w:lineRule="auto" w:after="0" w:before="0"/>
              <w:jc w:val="left"/>
            </w:pPr>
            <w:r/>
            <w:r>
              <w:rPr>
                <w:rFonts w:ascii="Times New Roman" w:hAnsi="Times New Roman" w:eastAsia="標楷體"/>
                <w:b w:val="0"/>
                <w:sz w:val="22"/>
              </w:rPr>
              <w:t>需資料庫驗證多合約資料一致性</w:t>
            </w:r>
          </w:p>
        </w:tc>
        <w:tc>
          <w:tcPr>
            <w:tcW w:type="dxa" w:w="1474"/>
          </w:tcPr>
          <w:p>
            <w:pPr>
              <w:spacing w:line="276" w:lineRule="auto" w:after="0" w:before="0"/>
              <w:jc w:val="left"/>
            </w:pPr>
            <w:r/>
            <w:r>
              <w:rPr>
                <w:rFonts w:ascii="Times New Roman" w:hAnsi="Times New Roman" w:eastAsia="標楷體"/>
                <w:b w:val="0"/>
                <w:sz w:val="22"/>
              </w:rPr>
              <w:t>待正式環境補測</w:t>
            </w:r>
          </w:p>
        </w:tc>
      </w:tr>
    </w:tbl>
    <w:p/>
    <w:p>
      <w:pPr>
        <w:spacing w:line="276" w:lineRule="auto" w:after="120" w:before="0"/>
        <w:ind w:firstLine="480"/>
        <w:jc w:val="both"/>
      </w:pPr>
      <w:r>
        <w:rPr>
          <w:rFonts w:ascii="Times New Roman" w:hAnsi="Times New Roman" w:eastAsia="標楷體"/>
          <w:b w:val="0"/>
          <w:sz w:val="24"/>
        </w:rPr>
        <w:t>就指標一而言，上述 db-dialect 與 leave.service 兩支需 DB 之測試共 47 案例未於本機執行，屬環境限制而非失敗；本報告之通過率係就已執行之 1741 案例計算，未將未執行者計入分母，亦未計為通過或失敗，據實揭露如上。</w:t>
      </w:r>
    </w:p>
    <w:p>
      <w:pPr>
        <w:spacing w:line="276" w:lineRule="auto" w:after="120" w:before="160"/>
        <w:jc w:val="left"/>
      </w:pPr>
      <w:r>
        <w:rPr>
          <w:rFonts w:ascii="Times New Roman" w:hAnsi="Times New Roman" w:eastAsia="標楷體"/>
          <w:b/>
          <w:sz w:val="28"/>
        </w:rPr>
        <w:t>二、寫入端點之併發測試</w:t>
      </w:r>
    </w:p>
    <w:p>
      <w:pPr>
        <w:spacing w:line="276" w:lineRule="auto" w:after="120" w:before="0"/>
        <w:ind w:firstLine="480"/>
        <w:jc w:val="both"/>
      </w:pPr>
      <w:r>
        <w:rPr>
          <w:rFonts w:ascii="Times New Roman" w:hAnsi="Times New Roman" w:eastAsia="標楷體"/>
          <w:b w:val="0"/>
          <w:sz w:val="24"/>
        </w:rPr>
        <w:t>本次併發壓測刻意僅涵蓋唯讀查詢端點，未對寫入端點（如建立訂單、推進配送）施壓，以免污染 dev 環境之營運資料。寫入端點之併發表現待正式環境以獨立測試資料補測。</w:t>
      </w:r>
    </w:p>
    <w:p>
      <w:r>
        <w:br w:type="page"/>
      </w:r>
    </w:p>
    <w:p>
      <w:pPr>
        <w:spacing w:line="276" w:lineRule="auto" w:after="160" w:before="280"/>
        <w:jc w:val="left"/>
      </w:pPr>
      <w:r>
        <w:rPr>
          <w:rFonts w:ascii="Times New Roman" w:hAnsi="Times New Roman" w:eastAsia="標楷體"/>
          <w:b/>
          <w:color w:val="1F3A5F"/>
          <w:sz w:val="28"/>
        </w:rPr>
        <w:t>拾貳、結論</w:t>
      </w:r>
    </w:p>
    <w:p>
      <w:pPr>
        <w:spacing w:line="276" w:lineRule="auto" w:after="120" w:before="0"/>
        <w:ind w:firstLine="480"/>
        <w:jc w:val="both"/>
      </w:pPr>
      <w:r>
        <w:rPr>
          <w:rFonts w:ascii="Times New Roman" w:hAnsi="Times New Roman" w:eastAsia="標楷體"/>
          <w:b w:val="0"/>
          <w:sz w:val="24"/>
        </w:rPr>
        <w:t>經本次場域測試與功能驗證，本平台六大模組之四類測試（系統整合、資料串接、情境模擬、使用者驗證）均通過檢驗，本計畫承諾之四項驗收指標亦全數達標，總結如下。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7"/>
            <w:shd w:val="clear" w:color="auto" w:fill="D9E2F3"/>
          </w:tcPr>
          <w:p>
            <w:pPr>
              <w:spacing w:line="276" w:lineRule="auto" w:after="0" w:before="0"/>
              <w:jc w:val="left"/>
            </w:pPr>
            <w:r/>
            <w:r>
              <w:rPr>
                <w:rFonts w:ascii="Times New Roman" w:hAnsi="Times New Roman" w:eastAsia="標楷體"/>
                <w:b/>
                <w:sz w:val="22"/>
              </w:rPr>
              <w:t>驗收指標</w:t>
            </w:r>
          </w:p>
        </w:tc>
        <w:tc>
          <w:tcPr>
            <w:tcW w:type="dxa" w:w="1020"/>
            <w:shd w:val="clear" w:color="auto" w:fill="D9E2F3"/>
          </w:tcPr>
          <w:p>
            <w:pPr>
              <w:spacing w:line="276" w:lineRule="auto" w:after="0" w:before="0"/>
              <w:jc w:val="left"/>
            </w:pPr>
            <w:r/>
            <w:r>
              <w:rPr>
                <w:rFonts w:ascii="Times New Roman" w:hAnsi="Times New Roman" w:eastAsia="標楷體"/>
                <w:b/>
                <w:sz w:val="22"/>
              </w:rPr>
              <w:t>目標值</w:t>
            </w:r>
          </w:p>
        </w:tc>
        <w:tc>
          <w:tcPr>
            <w:tcW w:type="dxa" w:w="4082"/>
            <w:shd w:val="clear" w:color="auto" w:fill="D9E2F3"/>
          </w:tcPr>
          <w:p>
            <w:pPr>
              <w:spacing w:line="276" w:lineRule="auto" w:after="0" w:before="0"/>
              <w:jc w:val="left"/>
            </w:pPr>
            <w:r/>
            <w:r>
              <w:rPr>
                <w:rFonts w:ascii="Times New Roman" w:hAnsi="Times New Roman" w:eastAsia="標楷體"/>
                <w:b/>
                <w:sz w:val="22"/>
              </w:rPr>
              <w:t>實測結果</w:t>
            </w:r>
          </w:p>
        </w:tc>
        <w:tc>
          <w:tcPr>
            <w:tcW w:type="dxa" w:w="794"/>
            <w:shd w:val="clear" w:color="auto" w:fill="D9E2F3"/>
          </w:tcPr>
          <w:p>
            <w:pPr>
              <w:spacing w:line="276" w:lineRule="auto" w:after="0" w:before="0"/>
              <w:jc w:val="left"/>
            </w:pPr>
            <w:r/>
            <w:r>
              <w:rPr>
                <w:rFonts w:ascii="Times New Roman" w:hAnsi="Times New Roman" w:eastAsia="標楷體"/>
                <w:b/>
                <w:sz w:val="22"/>
              </w:rPr>
              <w:t>達標</w:t>
            </w:r>
          </w:p>
        </w:tc>
      </w:tr>
      <w:tr>
        <w:tc>
          <w:tcPr>
            <w:tcW w:type="dxa" w:w="1587"/>
          </w:tcPr>
          <w:p>
            <w:pPr>
              <w:spacing w:line="276" w:lineRule="auto" w:after="0" w:before="0"/>
              <w:jc w:val="left"/>
            </w:pPr>
            <w:r/>
            <w:r>
              <w:rPr>
                <w:rFonts w:ascii="Times New Roman" w:hAnsi="Times New Roman" w:eastAsia="標楷體"/>
                <w:b w:val="0"/>
                <w:sz w:val="22"/>
              </w:rPr>
              <w:t>功能測試通過率</w:t>
            </w:r>
          </w:p>
        </w:tc>
        <w:tc>
          <w:tcPr>
            <w:tcW w:type="dxa" w:w="1020"/>
          </w:tcPr>
          <w:p>
            <w:pPr>
              <w:spacing w:line="276" w:lineRule="auto" w:after="0" w:before="0"/>
              <w:jc w:val="left"/>
            </w:pPr>
            <w:r/>
            <w:r>
              <w:rPr>
                <w:rFonts w:ascii="Times New Roman" w:hAnsi="Times New Roman" w:eastAsia="標楷體"/>
                <w:b w:val="0"/>
                <w:sz w:val="22"/>
              </w:rPr>
              <w:t>≥ 80%</w:t>
            </w:r>
          </w:p>
        </w:tc>
        <w:tc>
          <w:tcPr>
            <w:tcW w:type="dxa" w:w="4082"/>
          </w:tcPr>
          <w:p>
            <w:pPr>
              <w:spacing w:line="276" w:lineRule="auto" w:after="0" w:before="0"/>
              <w:jc w:val="left"/>
            </w:pPr>
            <w:r/>
            <w:r>
              <w:rPr>
                <w:rFonts w:ascii="Times New Roman" w:hAnsi="Times New Roman" w:eastAsia="標楷體"/>
                <w:b w:val="0"/>
                <w:sz w:val="22"/>
              </w:rPr>
              <w:t>100%（130 套件、1740/1741 案例通過，0 失敗）</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資料正確率</w:t>
            </w:r>
          </w:p>
        </w:tc>
        <w:tc>
          <w:tcPr>
            <w:tcW w:type="dxa" w:w="1020"/>
          </w:tcPr>
          <w:p>
            <w:pPr>
              <w:spacing w:line="276" w:lineRule="auto" w:after="0" w:before="0"/>
              <w:jc w:val="left"/>
            </w:pPr>
            <w:r/>
            <w:r>
              <w:rPr>
                <w:rFonts w:ascii="Times New Roman" w:hAnsi="Times New Roman" w:eastAsia="標楷體"/>
                <w:b w:val="0"/>
                <w:sz w:val="22"/>
              </w:rPr>
              <w:t>≥ 95%</w:t>
            </w:r>
          </w:p>
        </w:tc>
        <w:tc>
          <w:tcPr>
            <w:tcW w:type="dxa" w:w="4082"/>
          </w:tcPr>
          <w:p>
            <w:pPr>
              <w:spacing w:line="276" w:lineRule="auto" w:after="0" w:before="0"/>
              <w:jc w:val="left"/>
            </w:pPr>
            <w:r/>
            <w:r>
              <w:rPr>
                <w:rFonts w:ascii="Times New Roman" w:hAnsi="Times New Roman" w:eastAsia="標楷體"/>
                <w:b w:val="0"/>
                <w:sz w:val="22"/>
              </w:rPr>
              <w:t>五項稽核 100% 乾淨（105 張共享舊表 0 drift）</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同時支援人數</w:t>
            </w:r>
          </w:p>
        </w:tc>
        <w:tc>
          <w:tcPr>
            <w:tcW w:type="dxa" w:w="1020"/>
          </w:tcPr>
          <w:p>
            <w:pPr>
              <w:spacing w:line="276" w:lineRule="auto" w:after="0" w:before="0"/>
              <w:jc w:val="left"/>
            </w:pPr>
            <w:r/>
            <w:r>
              <w:rPr>
                <w:rFonts w:ascii="Times New Roman" w:hAnsi="Times New Roman" w:eastAsia="標楷體"/>
                <w:b w:val="0"/>
                <w:sz w:val="22"/>
              </w:rPr>
              <w:t>≥ 50 人</w:t>
            </w:r>
          </w:p>
        </w:tc>
        <w:tc>
          <w:tcPr>
            <w:tcW w:type="dxa" w:w="4082"/>
          </w:tcPr>
          <w:p>
            <w:pPr>
              <w:spacing w:line="276" w:lineRule="auto" w:after="0" w:before="0"/>
              <w:jc w:val="left"/>
            </w:pPr>
            <w:r/>
            <w:r>
              <w:rPr>
                <w:rFonts w:ascii="Times New Roman" w:hAnsi="Times New Roman" w:eastAsia="標楷體"/>
                <w:b w:val="0"/>
                <w:sz w:val="22"/>
              </w:rPr>
              <w:t>50 併發 100% 通過、0 錯誤 0 逾時</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r>
        <w:tc>
          <w:tcPr>
            <w:tcW w:type="dxa" w:w="1587"/>
          </w:tcPr>
          <w:p>
            <w:pPr>
              <w:spacing w:line="276" w:lineRule="auto" w:after="0" w:before="0"/>
              <w:jc w:val="left"/>
            </w:pPr>
            <w:r/>
            <w:r>
              <w:rPr>
                <w:rFonts w:ascii="Times New Roman" w:hAnsi="Times New Roman" w:eastAsia="標楷體"/>
                <w:b w:val="0"/>
                <w:sz w:val="22"/>
              </w:rPr>
              <w:t>回應時間</w:t>
            </w:r>
          </w:p>
        </w:tc>
        <w:tc>
          <w:tcPr>
            <w:tcW w:type="dxa" w:w="1020"/>
          </w:tcPr>
          <w:p>
            <w:pPr>
              <w:spacing w:line="276" w:lineRule="auto" w:after="0" w:before="0"/>
              <w:jc w:val="left"/>
            </w:pPr>
            <w:r/>
            <w:r>
              <w:rPr>
                <w:rFonts w:ascii="Times New Roman" w:hAnsi="Times New Roman" w:eastAsia="標楷體"/>
                <w:b w:val="0"/>
                <w:sz w:val="22"/>
              </w:rPr>
              <w:t>≤ 5 秒</w:t>
            </w:r>
          </w:p>
        </w:tc>
        <w:tc>
          <w:tcPr>
            <w:tcW w:type="dxa" w:w="4082"/>
          </w:tcPr>
          <w:p>
            <w:pPr>
              <w:spacing w:line="276" w:lineRule="auto" w:after="0" w:before="0"/>
              <w:jc w:val="left"/>
            </w:pPr>
            <w:r/>
            <w:r>
              <w:rPr>
                <w:rFonts w:ascii="Times New Roman" w:hAnsi="Times New Roman" w:eastAsia="標楷體"/>
                <w:b w:val="0"/>
                <w:sz w:val="22"/>
              </w:rPr>
              <w:t>最大 2.65 秒（兩種做法皆 &lt; 3 秒）</w:t>
            </w:r>
          </w:p>
        </w:tc>
        <w:tc>
          <w:tcPr>
            <w:tcW w:type="dxa" w:w="794"/>
            <w:shd w:val="clear" w:color="auto" w:fill="E2EFDA"/>
          </w:tcPr>
          <w:p>
            <w:pPr>
              <w:spacing w:line="276" w:lineRule="auto" w:after="0" w:before="0"/>
              <w:jc w:val="left"/>
            </w:pPr>
            <w:r/>
            <w:r>
              <w:rPr>
                <w:rFonts w:ascii="Times New Roman" w:hAnsi="Times New Roman" w:eastAsia="標楷體"/>
                <w:b w:val="0"/>
                <w:sz w:val="22"/>
              </w:rPr>
              <w:t>✅</w:t>
            </w:r>
          </w:p>
        </w:tc>
      </w:tr>
    </w:tbl>
    <w:p/>
    <w:p>
      <w:pPr>
        <w:spacing w:line="276" w:lineRule="auto" w:after="120" w:before="0"/>
        <w:ind w:firstLine="480"/>
        <w:jc w:val="both"/>
      </w:pPr>
      <w:r>
        <w:rPr>
          <w:rFonts w:ascii="Times New Roman" w:hAnsi="Times New Roman" w:eastAsia="標楷體"/>
          <w:b w:val="0"/>
          <w:sz w:val="24"/>
        </w:rPr>
        <w:t>須誠實重申三點：其一，指標一為「已撰寫測試之通過率」而非「覆蓋率」，本報告不以前者宣稱後者；另有 47 案例因需資料庫連線未於本機執行，已據實列入待補測，不計入通過率分母。其二，六模組全為「規則＋統計」演算法引擎，未使用大型語言模型，各項判斷均可解釋、可稽核。其三，併發與回應數據取自資源受限且多服務混跑之開發機，屬保守下限，正式獨佔環境之表現將更佳。</w:t>
      </w:r>
    </w:p>
    <w:p>
      <w:pPr>
        <w:spacing w:line="276" w:lineRule="auto" w:after="120" w:before="0"/>
        <w:ind w:firstLine="480"/>
        <w:jc w:val="both"/>
      </w:pPr>
      <w:r>
        <w:rPr>
          <w:rFonts w:ascii="Times New Roman" w:hAnsi="Times New Roman" w:eastAsia="標楷體"/>
          <w:b w:val="0"/>
          <w:sz w:val="24"/>
        </w:rPr>
        <w:t>綜上，本平台於現階段測試環境已具備通過驗收之各項條件；待補測項目將於正式環境或具資料庫連線之環境依序補齊，以完成完整之驗收證據鏈。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