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DEFB" w14:textId="7DCAA8B7" w:rsidR="002877D7" w:rsidRDefault="002877D7" w:rsidP="009A6CD6">
      <w:pPr>
        <w:spacing w:before="120" w:after="120"/>
        <w:jc w:val="center"/>
        <w:rPr>
          <w:rFonts w:ascii="Times New Roman" w:eastAsia="標楷體" w:hAnsi="Times New Roman" w:cs="Times New Roman"/>
          <w:b/>
          <w:bCs/>
          <w:sz w:val="56"/>
          <w:szCs w:val="56"/>
          <w:lang w:eastAsia="zh-TW"/>
        </w:rPr>
      </w:pPr>
      <w:r>
        <w:rPr>
          <w:rFonts w:ascii="Times New Roman" w:eastAsia="標楷體" w:hAnsi="Times New Roman" w:cs="Times New Roman" w:hint="eastAsia"/>
          <w:b/>
          <w:bCs/>
          <w:sz w:val="56"/>
          <w:szCs w:val="56"/>
          <w:lang w:eastAsia="zh-TW"/>
        </w:rPr>
        <w:t>經濟部商業發展署</w:t>
      </w:r>
    </w:p>
    <w:p w14:paraId="3DB60F8B" w14:textId="2CDC7907" w:rsidR="009A6CD6" w:rsidRPr="009A6CD6" w:rsidRDefault="009A6CD6" w:rsidP="009A6CD6">
      <w:pPr>
        <w:spacing w:before="120" w:after="120"/>
        <w:jc w:val="center"/>
        <w:rPr>
          <w:rFonts w:ascii="Times New Roman" w:eastAsia="標楷體" w:hAnsi="Times New Roman" w:cs="Times New Roman"/>
          <w:b/>
          <w:bCs/>
          <w:sz w:val="56"/>
          <w:szCs w:val="56"/>
          <w:lang w:eastAsia="zh-TW"/>
        </w:rPr>
      </w:pPr>
      <w:r w:rsidRPr="009A6CD6">
        <w:rPr>
          <w:rFonts w:ascii="Times New Roman" w:eastAsia="標楷體" w:hAnsi="Times New Roman" w:cs="Times New Roman" w:hint="eastAsia"/>
          <w:b/>
          <w:bCs/>
          <w:sz w:val="56"/>
          <w:szCs w:val="56"/>
          <w:lang w:eastAsia="zh-TW"/>
        </w:rPr>
        <w:t>提升商業服務業營運效能</w:t>
      </w:r>
    </w:p>
    <w:p w14:paraId="7DB34FF2" w14:textId="67D050BB" w:rsidR="009A6CD6" w:rsidRPr="009A6CD6" w:rsidRDefault="009A6CD6" w:rsidP="009A6CD6">
      <w:pPr>
        <w:spacing w:before="120" w:after="120"/>
        <w:jc w:val="center"/>
        <w:rPr>
          <w:rFonts w:ascii="Times New Roman" w:eastAsia="標楷體" w:hAnsi="Times New Roman" w:cs="Times New Roman"/>
          <w:b/>
          <w:bCs/>
          <w:sz w:val="56"/>
          <w:szCs w:val="56"/>
          <w:lang w:eastAsia="zh-TW"/>
        </w:rPr>
      </w:pPr>
      <w:r w:rsidRPr="009A6CD6">
        <w:rPr>
          <w:rFonts w:ascii="Times New Roman" w:eastAsia="標楷體" w:hAnsi="Times New Roman" w:cs="Times New Roman" w:hint="eastAsia"/>
          <w:b/>
          <w:bCs/>
          <w:sz w:val="56"/>
          <w:szCs w:val="56"/>
          <w:lang w:eastAsia="zh-TW"/>
        </w:rPr>
        <w:t>強化韌性計畫</w:t>
      </w:r>
    </w:p>
    <w:p w14:paraId="2C253C19" w14:textId="630EFEAF" w:rsidR="00F0704B" w:rsidRPr="00FA105F" w:rsidRDefault="009A6CD6" w:rsidP="009A6CD6">
      <w:pPr>
        <w:spacing w:before="120" w:after="120"/>
        <w:jc w:val="center"/>
        <w:rPr>
          <w:rFonts w:ascii="Times New Roman" w:eastAsia="標楷體" w:hAnsi="Times New Roman" w:cs="Times New Roman"/>
          <w:sz w:val="56"/>
          <w:szCs w:val="56"/>
          <w:lang w:eastAsia="zh-TW"/>
        </w:rPr>
      </w:pPr>
      <w:r w:rsidRPr="009A6CD6">
        <w:rPr>
          <w:rFonts w:ascii="Times New Roman" w:eastAsia="標楷體" w:hAnsi="Times New Roman" w:cs="Times New Roman" w:hint="eastAsia"/>
          <w:sz w:val="56"/>
          <w:szCs w:val="56"/>
          <w:lang w:eastAsia="zh-TW"/>
        </w:rPr>
        <w:t>個案補助－多店升級</w:t>
      </w:r>
    </w:p>
    <w:p w14:paraId="4F91F773" w14:textId="77777777" w:rsidR="00F0704B" w:rsidRPr="00FA105F" w:rsidRDefault="00F0704B" w:rsidP="00F0704B">
      <w:pPr>
        <w:spacing w:before="120" w:after="120"/>
        <w:jc w:val="both"/>
        <w:rPr>
          <w:rFonts w:ascii="Times New Roman" w:eastAsia="標楷體" w:hAnsi="Times New Roman" w:cs="Times New Roman"/>
          <w:sz w:val="30"/>
          <w:szCs w:val="30"/>
          <w:lang w:eastAsia="zh-TW"/>
        </w:rPr>
      </w:pPr>
      <w:bookmarkStart w:id="0" w:name="_heading=h.kw1mbngut2b7" w:colFirst="0" w:colLast="0"/>
      <w:bookmarkStart w:id="1" w:name="_heading=h.jayh7leh78fj" w:colFirst="0" w:colLast="0"/>
      <w:bookmarkEnd w:id="0"/>
      <w:bookmarkEnd w:id="1"/>
    </w:p>
    <w:p w14:paraId="2DCEE91F" w14:textId="4C9574E9" w:rsidR="00F0704B" w:rsidRPr="009A6CD6" w:rsidRDefault="002877D7" w:rsidP="00F0704B">
      <w:pPr>
        <w:spacing w:before="120" w:after="120"/>
        <w:jc w:val="center"/>
        <w:rPr>
          <w:rFonts w:ascii="Times New Roman" w:eastAsia="標楷體" w:hAnsi="Times New Roman" w:cs="Times New Roman"/>
          <w:sz w:val="40"/>
          <w:szCs w:val="40"/>
          <w:lang w:eastAsia="zh-TW"/>
        </w:rPr>
      </w:pPr>
      <w:r>
        <w:rPr>
          <w:rFonts w:ascii="Times New Roman" w:eastAsia="標楷體" w:hAnsi="Times New Roman" w:cs="Times New Roman" w:hint="eastAsia"/>
          <w:sz w:val="40"/>
          <w:szCs w:val="40"/>
          <w:lang w:eastAsia="zh-TW"/>
        </w:rPr>
        <w:t>【</w:t>
      </w:r>
      <w:r w:rsidR="009A6CD6" w:rsidRPr="009A6CD6">
        <w:rPr>
          <w:rFonts w:ascii="Times New Roman" w:eastAsia="標楷體" w:hAnsi="Times New Roman" w:cs="Times New Roman"/>
          <w:sz w:val="40"/>
          <w:szCs w:val="40"/>
          <w:lang w:eastAsia="zh-TW"/>
        </w:rPr>
        <w:t>亞瑟環境清潔多場域耗材</w:t>
      </w:r>
      <w:r w:rsidR="009A6CD6" w:rsidRPr="009A6CD6">
        <w:rPr>
          <w:rFonts w:ascii="Times New Roman" w:eastAsia="標楷體" w:hAnsi="Times New Roman" w:cs="Times New Roman"/>
          <w:sz w:val="40"/>
          <w:szCs w:val="40"/>
          <w:lang w:eastAsia="zh-TW"/>
        </w:rPr>
        <w:t>AI</w:t>
      </w:r>
      <w:r w:rsidR="009A6CD6" w:rsidRPr="009A6CD6">
        <w:rPr>
          <w:rFonts w:ascii="Times New Roman" w:eastAsia="標楷體" w:hAnsi="Times New Roman" w:cs="Times New Roman"/>
          <w:sz w:val="40"/>
          <w:szCs w:val="40"/>
          <w:lang w:eastAsia="zh-TW"/>
        </w:rPr>
        <w:t>預測補貨與供應鏈協同配送升級計畫</w:t>
      </w:r>
      <w:r>
        <w:rPr>
          <w:rFonts w:ascii="Times New Roman" w:eastAsia="標楷體" w:hAnsi="Times New Roman" w:cs="Times New Roman" w:hint="eastAsia"/>
          <w:sz w:val="40"/>
          <w:szCs w:val="40"/>
          <w:lang w:eastAsia="zh-TW"/>
        </w:rPr>
        <w:t>】</w:t>
      </w:r>
    </w:p>
    <w:p w14:paraId="75D204C7" w14:textId="77777777" w:rsidR="00F0704B" w:rsidRPr="009A6CD6" w:rsidRDefault="00F0704B" w:rsidP="00F0704B">
      <w:pPr>
        <w:spacing w:before="120" w:after="120"/>
        <w:jc w:val="both"/>
        <w:rPr>
          <w:rFonts w:ascii="Times New Roman" w:eastAsia="標楷體" w:hAnsi="Times New Roman" w:cs="Times New Roman"/>
          <w:sz w:val="36"/>
          <w:szCs w:val="36"/>
          <w:lang w:eastAsia="zh-TW"/>
        </w:rPr>
      </w:pPr>
    </w:p>
    <w:p w14:paraId="150E412E" w14:textId="77777777" w:rsidR="00F0704B" w:rsidRPr="00FA105F" w:rsidRDefault="00F0704B" w:rsidP="00F0704B">
      <w:pPr>
        <w:spacing w:before="120" w:after="120"/>
        <w:jc w:val="both"/>
        <w:rPr>
          <w:rFonts w:ascii="Times New Roman" w:eastAsia="標楷體" w:hAnsi="Times New Roman" w:cs="Times New Roman"/>
          <w:sz w:val="72"/>
          <w:szCs w:val="72"/>
          <w:lang w:eastAsia="zh-TW"/>
        </w:rPr>
      </w:pPr>
    </w:p>
    <w:p w14:paraId="664F4B59" w14:textId="15E59B85" w:rsidR="00F0704B" w:rsidRPr="00FA105F" w:rsidRDefault="009A6CD6" w:rsidP="00F0704B">
      <w:pPr>
        <w:spacing w:before="120" w:after="120"/>
        <w:jc w:val="center"/>
        <w:rPr>
          <w:rFonts w:ascii="Times New Roman" w:eastAsia="標楷體" w:hAnsi="Times New Roman" w:cs="Times New Roman"/>
          <w:lang w:eastAsia="zh-TW"/>
        </w:rPr>
      </w:pPr>
      <w:r>
        <w:rPr>
          <w:rFonts w:ascii="Times New Roman" w:eastAsia="標楷體" w:hAnsi="Times New Roman" w:cs="Times New Roman" w:hint="eastAsia"/>
          <w:sz w:val="48"/>
          <w:szCs w:val="48"/>
          <w:lang w:eastAsia="zh-TW"/>
        </w:rPr>
      </w:r>
      <w:r w:rsidR="00F0704B" w:rsidRPr="00FA105F">
        <w:rPr>
          <w:rFonts w:ascii="Times New Roman" w:eastAsia="標楷體" w:hAnsi="Times New Roman" w:cs="Times New Roman"/>
          <w:sz w:val="48"/>
          <w:szCs w:val="48"/>
          <w:lang w:eastAsia="zh-TW"/>
        </w:rPr>
      </w:r>
      <w:r>
        <w:rPr>
          <w:rFonts w:ascii="Times New Roman" w:eastAsia="標楷體" w:hAnsi="Times New Roman" w:cs="Times New Roman" w:hint="eastAsia"/>
          <w:sz w:val="48"/>
          <w:szCs w:val="48"/>
          <w:lang w:eastAsia="zh-TW"/>
        </w:rPr>
        <w:t>導入AI工具之進度說明</w:t>
      </w:r>
      <w:r w:rsidR="00F0704B" w:rsidRPr="00F0704B">
        <w:rPr>
          <w:rFonts w:ascii="Times New Roman" w:eastAsia="標楷體" w:hAnsi="Times New Roman" w:cs="Times New Roman"/>
          <w:sz w:val="48"/>
          <w:szCs w:val="48"/>
          <w:lang w:eastAsia="zh-TW"/>
        </w:rPr>
      </w:r>
    </w:p>
    <w:p w14:paraId="0B0A95B0" w14:textId="77777777" w:rsidR="00F0704B" w:rsidRPr="00FA105F" w:rsidRDefault="00F0704B" w:rsidP="00F0704B">
      <w:pPr>
        <w:spacing w:before="120" w:after="120"/>
        <w:jc w:val="both"/>
        <w:rPr>
          <w:rFonts w:ascii="Times New Roman" w:eastAsia="標楷體" w:hAnsi="Times New Roman" w:cs="Times New Roman"/>
          <w:lang w:eastAsia="zh-TW"/>
        </w:rPr>
      </w:pPr>
    </w:p>
    <w:p w14:paraId="301D3A2F" w14:textId="77777777" w:rsidR="00F0704B" w:rsidRPr="00FA105F" w:rsidRDefault="00F0704B" w:rsidP="00F0704B">
      <w:pPr>
        <w:spacing w:before="120" w:after="120"/>
        <w:jc w:val="both"/>
        <w:rPr>
          <w:rFonts w:ascii="Times New Roman" w:eastAsia="標楷體" w:hAnsi="Times New Roman" w:cs="Times New Roman"/>
          <w:b/>
          <w:sz w:val="36"/>
          <w:szCs w:val="36"/>
          <w:lang w:eastAsia="zh-TW"/>
        </w:rPr>
      </w:pPr>
    </w:p>
    <w:p w14:paraId="6C4DEE38" w14:textId="77777777" w:rsidR="00F0704B" w:rsidRDefault="00F0704B" w:rsidP="00F0704B">
      <w:pPr>
        <w:spacing w:before="120" w:after="120"/>
        <w:jc w:val="both"/>
        <w:rPr>
          <w:rFonts w:ascii="Times New Roman" w:eastAsia="標楷體" w:hAnsi="Times New Roman" w:cs="Times New Roman"/>
          <w:b/>
          <w:sz w:val="36"/>
          <w:szCs w:val="36"/>
          <w:lang w:eastAsia="zh-TW"/>
        </w:rPr>
      </w:pPr>
    </w:p>
    <w:p w14:paraId="17906315" w14:textId="77777777" w:rsidR="002877D7" w:rsidRDefault="002877D7" w:rsidP="00F0704B">
      <w:pPr>
        <w:spacing w:before="120" w:after="120"/>
        <w:jc w:val="both"/>
        <w:rPr>
          <w:rFonts w:ascii="Times New Roman" w:eastAsia="標楷體" w:hAnsi="Times New Roman" w:cs="Times New Roman"/>
          <w:b/>
          <w:sz w:val="36"/>
          <w:szCs w:val="36"/>
          <w:lang w:eastAsia="zh-TW"/>
        </w:rPr>
      </w:pPr>
    </w:p>
    <w:p w14:paraId="4254D845" w14:textId="77777777" w:rsidR="002877D7" w:rsidRDefault="002877D7" w:rsidP="00F0704B">
      <w:pPr>
        <w:spacing w:before="120" w:after="120"/>
        <w:jc w:val="both"/>
        <w:rPr>
          <w:rFonts w:ascii="Times New Roman" w:eastAsia="標楷體" w:hAnsi="Times New Roman" w:cs="Times New Roman"/>
          <w:b/>
          <w:sz w:val="36"/>
          <w:szCs w:val="36"/>
          <w:lang w:eastAsia="zh-TW"/>
        </w:rPr>
      </w:pPr>
    </w:p>
    <w:p w14:paraId="33E80A42" w14:textId="77777777" w:rsidR="002877D7" w:rsidRPr="00FA105F" w:rsidRDefault="002877D7" w:rsidP="00F0704B">
      <w:pPr>
        <w:spacing w:before="120" w:after="120"/>
        <w:jc w:val="both"/>
        <w:rPr>
          <w:rFonts w:ascii="Times New Roman" w:eastAsia="標楷體" w:hAnsi="Times New Roman" w:cs="Times New Roman" w:hint="eastAsia"/>
          <w:b/>
          <w:sz w:val="36"/>
          <w:szCs w:val="36"/>
          <w:lang w:eastAsia="zh-TW"/>
        </w:rPr>
      </w:pPr>
    </w:p>
    <w:p w14:paraId="7B2CBA05" w14:textId="4BF9B724" w:rsidR="00DD3E11" w:rsidRPr="00423710" w:rsidRDefault="00F0704B" w:rsidP="002877D7">
      <w:pPr>
        <w:spacing w:before="120" w:after="120"/>
        <w:jc w:val="center"/>
        <w:rPr>
          <w:rFonts w:ascii="Times New Roman" w:eastAsia="標楷體" w:hAnsi="Times New Roman" w:cs="Times New Roman" w:hint="eastAsia"/>
          <w:b/>
          <w:sz w:val="36"/>
          <w:szCs w:val="36"/>
          <w:lang w:eastAsia="zh-TW"/>
        </w:rPr>
      </w:pPr>
      <w:bookmarkStart w:id="2" w:name="_heading=h.g8b46loew5zw" w:colFirst="0" w:colLast="0"/>
      <w:bookmarkEnd w:id="2"/>
      <w:r w:rsidRPr="00FA105F">
        <w:rPr>
          <w:rFonts w:ascii="Times New Roman" w:eastAsia="標楷體" w:hAnsi="Times New Roman" w:cs="Times New Roman"/>
          <w:b/>
          <w:sz w:val="36"/>
          <w:szCs w:val="36"/>
          <w:lang w:eastAsia="zh-TW"/>
        </w:rPr>
        <w:t>中華民國</w:t>
      </w:r>
      <w:r w:rsidRPr="00FA105F">
        <w:rPr>
          <w:rFonts w:ascii="Times New Roman" w:eastAsia="標楷體" w:hAnsi="Times New Roman" w:cs="Times New Roman"/>
          <w:b/>
          <w:sz w:val="36"/>
          <w:szCs w:val="36"/>
          <w:lang w:eastAsia="zh-TW"/>
        </w:rPr>
        <w:t xml:space="preserve"> 11</w:t>
      </w:r>
      <w:r w:rsidR="00423710">
        <w:rPr>
          <w:rFonts w:ascii="Times New Roman" w:eastAsia="標楷體" w:hAnsi="Times New Roman" w:cs="Times New Roman" w:hint="eastAsia"/>
          <w:b/>
          <w:sz w:val="36"/>
          <w:szCs w:val="36"/>
          <w:lang w:eastAsia="zh-TW"/>
        </w:rPr>
        <w:t>5</w:t>
      </w:r>
      <w:r w:rsidRPr="00FA105F">
        <w:rPr>
          <w:rFonts w:ascii="Times New Roman" w:eastAsia="標楷體" w:hAnsi="Times New Roman" w:cs="Times New Roman"/>
          <w:b/>
          <w:sz w:val="36"/>
          <w:szCs w:val="36"/>
          <w:lang w:eastAsia="zh-TW"/>
        </w:rPr>
        <w:t xml:space="preserve"> </w:t>
      </w:r>
      <w:r w:rsidRPr="00FA105F">
        <w:rPr>
          <w:rFonts w:ascii="Times New Roman" w:eastAsia="標楷體" w:hAnsi="Times New Roman" w:cs="Times New Roman"/>
          <w:b/>
          <w:sz w:val="36"/>
          <w:szCs w:val="36"/>
          <w:lang w:eastAsia="zh-TW"/>
        </w:rPr>
        <w:t>年</w:t>
      </w:r>
      <w:r w:rsidRPr="00FA105F">
        <w:rPr>
          <w:rFonts w:ascii="Times New Roman" w:eastAsia="標楷體" w:hAnsi="Times New Roman" w:cs="Times New Roman"/>
          <w:b/>
          <w:sz w:val="36"/>
          <w:szCs w:val="36"/>
          <w:lang w:eastAsia="zh-TW"/>
        </w:rPr>
        <w:t xml:space="preserve"> </w:t>
      </w:r>
      <w:r w:rsidR="009A6CD6">
        <w:rPr>
          <w:rFonts w:ascii="Times New Roman" w:eastAsia="標楷體" w:hAnsi="Times New Roman" w:cs="Times New Roman" w:hint="eastAsia"/>
          <w:b/>
          <w:sz w:val="36"/>
          <w:szCs w:val="36"/>
          <w:lang w:eastAsia="zh-TW"/>
        </w:rPr>
        <w:t>8</w:t>
      </w:r>
      <w:r w:rsidRPr="00FA105F">
        <w:rPr>
          <w:rFonts w:ascii="Times New Roman" w:eastAsia="標楷體" w:hAnsi="Times New Roman" w:cs="Times New Roman"/>
          <w:b/>
          <w:sz w:val="36"/>
          <w:szCs w:val="36"/>
          <w:lang w:eastAsia="zh-TW"/>
        </w:rPr>
        <w:t xml:space="preserve"> </w:t>
      </w:r>
      <w:r w:rsidRPr="00FA105F">
        <w:rPr>
          <w:rFonts w:ascii="Times New Roman" w:eastAsia="標楷體" w:hAnsi="Times New Roman" w:cs="Times New Roman"/>
          <w:b/>
          <w:sz w:val="36"/>
          <w:szCs w:val="36"/>
          <w:lang w:eastAsia="zh-TW"/>
        </w:rPr>
        <w:t>月</w:t>
      </w:r>
      <w:r w:rsidRPr="00FA105F">
        <w:rPr>
          <w:rFonts w:ascii="Times New Roman" w:eastAsia="標楷體" w:hAnsi="Times New Roman" w:cs="Times New Roman"/>
          <w:b/>
          <w:sz w:val="36"/>
          <w:szCs w:val="36"/>
          <w:lang w:eastAsia="zh-TW"/>
        </w:rPr>
        <w:t xml:space="preserve"> </w:t>
      </w:r>
      <w:r w:rsidR="009A6CD6">
        <w:rPr>
          <w:rFonts w:ascii="Times New Roman" w:eastAsia="標楷體" w:hAnsi="Times New Roman" w:cs="Times New Roman" w:hint="eastAsia"/>
          <w:b/>
          <w:sz w:val="36"/>
          <w:szCs w:val="36"/>
          <w:lang w:eastAsia="zh-TW"/>
        </w:rPr>
        <w:t>31</w:t>
      </w:r>
      <w:r w:rsidRPr="00FA105F">
        <w:rPr>
          <w:rFonts w:ascii="Times New Roman" w:eastAsia="標楷體" w:hAnsi="Times New Roman" w:cs="Times New Roman"/>
          <w:b/>
          <w:sz w:val="36"/>
          <w:szCs w:val="36"/>
          <w:lang w:eastAsia="zh-TW"/>
        </w:rPr>
        <w:t xml:space="preserve"> </w:t>
      </w:r>
      <w:r w:rsidRPr="00FA105F">
        <w:rPr>
          <w:rFonts w:ascii="Times New Roman" w:eastAsia="標楷體" w:hAnsi="Times New Roman" w:cs="Times New Roman"/>
          <w:b/>
          <w:sz w:val="36"/>
          <w:szCs w:val="36"/>
          <w:lang w:eastAsia="zh-TW"/>
        </w:rPr>
        <w:t>日</w:t>
      </w:r>
      <w:r>
        <w:br w:type="page"/>
      </w:r>
    </w:p>
    <w:p>
      <w:pPr>
        <w:spacing w:line="276" w:lineRule="auto" w:after="240" w:before="0"/>
        <w:jc w:val="center"/>
      </w:pPr>
      <w:r>
        <w:rPr>
          <w:rFonts w:ascii="Times New Roman" w:hAnsi="Times New Roman" w:eastAsia="標楷體"/>
          <w:b/>
          <w:sz w:val="32"/>
        </w:rPr>
        <w:t>目　錄</w:t>
      </w:r>
    </w:p>
    <w:p>
      <w:pPr>
        <w:spacing w:line="276" w:lineRule="auto" w:after="120" w:before="0"/>
      </w:pPr>
      <w:r>
        <w:rPr>
          <w:rFonts w:ascii="Times New Roman" w:hAnsi="Times New Roman" w:eastAsia="標楷體"/>
          <w:b w:val="0"/>
          <w:sz w:val="24"/>
        </w:rPr>
        <w:fldChar w:fldCharType="begin"/>
        <w:instrText xml:space="preserve">TOC \o "1-2" \h \z \u</w:instrText>
        <w:fldChar w:fldCharType="separate"/>
        <w:t>（開啟文件後，於此處按右鍵選「更新功能變數」以產生目錄頁碼）</w:t>
        <w:fldChar w:fldCharType="end"/>
      </w:r>
      <w:r>
        <w:br w:type="page"/>
      </w:r>
    </w:p>
    <w:p>
      <w:pPr>
        <w:spacing w:line="276" w:lineRule="auto" w:after="120" w:before="240"/>
        <w:jc w:val="left"/>
      </w:pPr>
      <w:r>
        <w:rPr>
          <w:rFonts w:ascii="Times New Roman" w:hAnsi="Times New Roman" w:eastAsia="標楷體"/>
          <w:b/>
          <w:color w:val="1F3A5F"/>
          <w:sz w:val="28"/>
        </w:rPr>
        <w:t>壹、前言</w:t>
      </w:r>
    </w:p>
    <w:p>
      <w:pPr>
        <w:spacing w:line="276" w:lineRule="auto" w:after="120" w:before="0"/>
        <w:jc w:val="left"/>
      </w:pPr>
      <w:r>
        <w:rPr>
          <w:rFonts w:ascii="Times New Roman" w:hAnsi="Times New Roman" w:eastAsia="標楷體"/>
          <w:b/>
          <w:sz w:val="28"/>
        </w:rPr>
        <w:t>一、計畫背景</w:t>
      </w:r>
    </w:p>
    <w:p>
      <w:pPr>
        <w:spacing w:line="276" w:lineRule="auto" w:after="120" w:before="0"/>
        <w:ind w:firstLine="480"/>
        <w:jc w:val="both"/>
      </w:pPr>
      <w:r>
        <w:rPr>
          <w:rFonts w:ascii="Times New Roman" w:hAnsi="Times New Roman" w:eastAsia="標楷體"/>
          <w:b w:val="0"/>
          <w:sz w:val="24"/>
        </w:rPr>
        <w:t>本計畫名稱為「亞瑟環境清潔多場域耗材AI預測補貨與供應鏈協同配送升級計畫」，執行期間自中華民國一一五年五月七日起至一一六年一月七日止。亞瑟環境清潔於全國經營多處環境清潔服務場域，各場域耗材（清潔用品、衛生耗材、設備零件等）之需求推估、補貨與配送長期仰賴現場人員憑經驗判斷，易生缺料、囤料與作業負擔過重等情形。本計畫以資訊平台導入人工智慧（AI）輔助決策機制，就耗材需求預測、異常預警、補貨建議、供應鏈協同配送及營運管理五大面向進行系統化升級，期使各場域耗材供應由「憑經驗判斷」轉為「以數據為本、系統輔助」之可預測、可稽核運作模式。</w:t>
      </w:r>
    </w:p>
    <w:p>
      <w:pPr>
        <w:spacing w:line="276" w:lineRule="auto" w:after="120" w:before="0"/>
        <w:jc w:val="left"/>
      </w:pPr>
      <w:r>
        <w:rPr>
          <w:rFonts w:ascii="Times New Roman" w:hAnsi="Times New Roman" w:eastAsia="標楷體"/>
          <w:b/>
          <w:sz w:val="28"/>
        </w:rPr>
        <w:t>二、本文件目的</w:t>
      </w:r>
    </w:p>
    <w:p>
      <w:pPr>
        <w:spacing w:line="276" w:lineRule="auto" w:after="120" w:before="0"/>
        <w:ind w:firstLine="480"/>
        <w:jc w:val="both"/>
      </w:pPr>
      <w:r>
        <w:rPr>
          <w:rFonts w:ascii="Times New Roman" w:hAnsi="Times New Roman" w:eastAsia="標楷體"/>
          <w:b w:val="0"/>
          <w:sz w:val="24"/>
        </w:rPr>
        <w:t>本文件為政府補助案期中進度說明，旨在說明本計畫所導入之五大AI功能模組，截至中華民國一一五年八月三十一日（期中截止點）之開發、測試與導入進度。所稱五大AI功能模組係指補助核心之五大耗材模組，另含維修支援模組（系統附屬功能）一併說明。文件依各模組實際完成之程式碼、測試案例與現場展示情形據實說明，凡尚未完成或尚待資料累積驗證者，均誠實敘明其所處階段與預計完成時程，俾利審查委員掌握本計畫實際進展。</w:t>
      </w:r>
    </w:p>
    <w:p>
      <w:pPr>
        <w:spacing w:line="276" w:lineRule="auto" w:after="120" w:before="0"/>
        <w:jc w:val="left"/>
      </w:pPr>
      <w:r>
        <w:rPr>
          <w:rFonts w:ascii="Times New Roman" w:hAnsi="Times New Roman" w:eastAsia="標楷體"/>
          <w:b/>
          <w:sz w:val="28"/>
        </w:rPr>
        <w:t>三、模組總覽</w:t>
      </w:r>
    </w:p>
    <w:p>
      <w:pPr>
        <w:spacing w:line="276" w:lineRule="auto" w:after="120" w:before="0"/>
        <w:ind w:firstLine="480"/>
        <w:jc w:val="both"/>
      </w:pPr>
      <w:r>
        <w:rPr>
          <w:rFonts w:ascii="Times New Roman" w:hAnsi="Times New Roman" w:eastAsia="標楷體"/>
          <w:b w:val="0"/>
          <w:sz w:val="24"/>
        </w:rPr>
        <w:t>本計畫之核心AI輔助功能區分為下列五大耗材模組，另含維修支援模組（系統附屬功能），合計六個功能模組。各模組之後端運算邏輯與前端操作畫面均已完成建置並可實際操作，並已於一一五年八月二十二日期中關懷會議現場展示：</w:t>
      </w:r>
    </w:p>
    <w:tbl>
      <w:tblPr>
        <w:tblStyle w:val="aff2"/>
        <w:tblW w:type="auto" w:w="0"/>
        <w:tblLook w:firstColumn="1" w:firstRow="1" w:lastColumn="0" w:lastRow="0" w:noHBand="0" w:noVBand="1" w:val="04A0"/>
      </w:tblPr>
      <w:tblGrid>
        <w:gridCol w:w="2160"/>
        <w:gridCol w:w="2160"/>
        <w:gridCol w:w="2160"/>
        <w:gridCol w:w="2160"/>
      </w:tblGrid>
      <w:tr>
        <w:tc>
          <w:tcPr>
            <w:tcW w:type="dxa" w:w="2160"/>
          </w:tcPr>
          <w:p>
            <w:pPr>
              <w:spacing w:line="276" w:lineRule="auto" w:after="0" w:before="0"/>
            </w:pPr>
            <w:r/>
            <w:r>
              <w:rPr>
                <w:rFonts w:ascii="Times New Roman" w:hAnsi="Times New Roman" w:eastAsia="標楷體"/>
                <w:b/>
                <w:sz w:val="22"/>
              </w:rPr>
              <w:t>編號</w:t>
            </w:r>
          </w:p>
        </w:tc>
        <w:tc>
          <w:tcPr>
            <w:tcW w:type="dxa" w:w="2160"/>
          </w:tcPr>
          <w:p>
            <w:pPr>
              <w:spacing w:line="276" w:lineRule="auto" w:after="0" w:before="0"/>
            </w:pPr>
            <w:r/>
            <w:r>
              <w:rPr>
                <w:rFonts w:ascii="Times New Roman" w:hAnsi="Times New Roman" w:eastAsia="標楷體"/>
                <w:b/>
                <w:sz w:val="22"/>
              </w:rPr>
              <w:t>模組名稱</w:t>
            </w:r>
          </w:p>
        </w:tc>
        <w:tc>
          <w:tcPr>
            <w:tcW w:type="dxa" w:w="2160"/>
          </w:tcPr>
          <w:p>
            <w:pPr>
              <w:spacing w:line="276" w:lineRule="auto" w:after="0" w:before="0"/>
            </w:pPr>
            <w:r/>
            <w:r>
              <w:rPr>
                <w:rFonts w:ascii="Times New Roman" w:hAnsi="Times New Roman" w:eastAsia="標楷體"/>
                <w:b/>
                <w:sz w:val="22"/>
              </w:rPr>
              <w:t>核心職能</w:t>
            </w:r>
          </w:p>
        </w:tc>
        <w:tc>
          <w:tcPr>
            <w:tcW w:type="dxa" w:w="2160"/>
          </w:tcPr>
          <w:p>
            <w:pPr>
              <w:spacing w:line="276" w:lineRule="auto" w:after="0" w:before="0"/>
            </w:pPr>
            <w:r/>
            <w:r>
              <w:rPr>
                <w:rFonts w:ascii="Times New Roman" w:hAnsi="Times New Roman" w:eastAsia="標楷體"/>
                <w:b/>
                <w:sz w:val="22"/>
              </w:rPr>
              <w:t>成熟度</w:t>
            </w:r>
          </w:p>
        </w:tc>
      </w:tr>
      <w:tr>
        <w:tc>
          <w:tcPr>
            <w:tcW w:type="dxa" w:w="2160"/>
          </w:tcPr>
          <w:p>
            <w:pPr>
              <w:spacing w:line="276" w:lineRule="auto" w:after="0" w:before="0"/>
            </w:pPr>
            <w:r/>
            <w:r>
              <w:rPr>
                <w:rFonts w:ascii="Times New Roman" w:hAnsi="Times New Roman" w:eastAsia="標楷體"/>
                <w:b w:val="0"/>
                <w:sz w:val="22"/>
              </w:rPr>
              <w:t>①</w:t>
            </w:r>
          </w:p>
        </w:tc>
        <w:tc>
          <w:tcPr>
            <w:tcW w:type="dxa" w:w="2160"/>
          </w:tcPr>
          <w:p>
            <w:pPr>
              <w:spacing w:line="276" w:lineRule="auto" w:after="0" w:before="0"/>
            </w:pPr>
            <w:r/>
            <w:r>
              <w:rPr>
                <w:rFonts w:ascii="Times New Roman" w:hAnsi="Times New Roman" w:eastAsia="標楷體"/>
                <w:b w:val="0"/>
                <w:sz w:val="22"/>
              </w:rPr>
              <w:t>AI耗材需求預測</w:t>
            </w:r>
          </w:p>
        </w:tc>
        <w:tc>
          <w:tcPr>
            <w:tcW w:type="dxa" w:w="2160"/>
          </w:tcPr>
          <w:p>
            <w:pPr>
              <w:spacing w:line="276" w:lineRule="auto" w:after="0" w:before="0"/>
            </w:pPr>
            <w:r/>
            <w:r>
              <w:rPr>
                <w:rFonts w:ascii="Times New Roman" w:hAnsi="Times New Roman" w:eastAsia="標楷體"/>
                <w:b w:val="0"/>
                <w:sz w:val="22"/>
              </w:rPr>
              <w:t>依歷史用量推估各場域各品項次月需求</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②</w:t>
            </w:r>
          </w:p>
        </w:tc>
        <w:tc>
          <w:tcPr>
            <w:tcW w:type="dxa" w:w="2160"/>
          </w:tcPr>
          <w:p>
            <w:pPr>
              <w:spacing w:line="276" w:lineRule="auto" w:after="0" w:before="0"/>
            </w:pPr>
            <w:r/>
            <w:r>
              <w:rPr>
                <w:rFonts w:ascii="Times New Roman" w:hAnsi="Times New Roman" w:eastAsia="標楷體"/>
                <w:b w:val="0"/>
                <w:sz w:val="22"/>
              </w:rPr>
              <w:t>異常預警</w:t>
            </w:r>
          </w:p>
        </w:tc>
        <w:tc>
          <w:tcPr>
            <w:tcW w:type="dxa" w:w="2160"/>
          </w:tcPr>
          <w:p>
            <w:pPr>
              <w:spacing w:line="276" w:lineRule="auto" w:after="0" w:before="0"/>
            </w:pPr>
            <w:r/>
            <w:r>
              <w:rPr>
                <w:rFonts w:ascii="Times New Roman" w:hAnsi="Times New Roman" w:eastAsia="標楷體"/>
                <w:b w:val="0"/>
                <w:sz w:val="22"/>
              </w:rPr>
              <w:t>六類型供應鏈異常自動偵測與雙向通知</w:t>
            </w:r>
          </w:p>
        </w:tc>
        <w:tc>
          <w:tcPr>
            <w:tcW w:type="dxa" w:w="2160"/>
          </w:tcPr>
          <w:p>
            <w:pPr>
              <w:spacing w:line="276" w:lineRule="auto" w:after="0" w:before="0"/>
            </w:pPr>
            <w:r/>
            <w:r>
              <w:rPr>
                <w:rFonts w:ascii="Times New Roman" w:hAnsi="Times New Roman" w:eastAsia="標楷體"/>
                <w:b w:val="0"/>
                <w:sz w:val="22"/>
              </w:rPr>
              <w:t>已完整可導入</w:t>
            </w:r>
          </w:p>
        </w:tc>
      </w:tr>
      <w:tr>
        <w:tc>
          <w:tcPr>
            <w:tcW w:type="dxa" w:w="2160"/>
          </w:tcPr>
          <w:p>
            <w:pPr>
              <w:spacing w:line="276" w:lineRule="auto" w:after="0" w:before="0"/>
            </w:pPr>
            <w:r/>
            <w:r>
              <w:rPr>
                <w:rFonts w:ascii="Times New Roman" w:hAnsi="Times New Roman" w:eastAsia="標楷體"/>
                <w:b w:val="0"/>
                <w:sz w:val="22"/>
              </w:rPr>
              <w:t>③</w:t>
            </w:r>
          </w:p>
        </w:tc>
        <w:tc>
          <w:tcPr>
            <w:tcW w:type="dxa" w:w="2160"/>
          </w:tcPr>
          <w:p>
            <w:pPr>
              <w:spacing w:line="276" w:lineRule="auto" w:after="0" w:before="0"/>
            </w:pPr>
            <w:r/>
            <w:r>
              <w:rPr>
                <w:rFonts w:ascii="Times New Roman" w:hAnsi="Times New Roman" w:eastAsia="標楷體"/>
                <w:b w:val="0"/>
                <w:sz w:val="22"/>
              </w:rPr>
              <w:t>AI補貨建議</w:t>
            </w:r>
          </w:p>
        </w:tc>
        <w:tc>
          <w:tcPr>
            <w:tcW w:type="dxa" w:w="2160"/>
          </w:tcPr>
          <w:p>
            <w:pPr>
              <w:spacing w:line="276" w:lineRule="auto" w:after="0" w:before="0"/>
            </w:pPr>
            <w:r/>
            <w:r>
              <w:rPr>
                <w:rFonts w:ascii="Times New Roman" w:hAnsi="Times New Roman" w:eastAsia="標楷體"/>
                <w:b w:val="0"/>
                <w:sz w:val="22"/>
              </w:rPr>
              <w:t>將預測轉為請購／採購建議並帶入供應商</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④</w:t>
            </w:r>
          </w:p>
        </w:tc>
        <w:tc>
          <w:tcPr>
            <w:tcW w:type="dxa" w:w="2160"/>
          </w:tcPr>
          <w:p>
            <w:pPr>
              <w:spacing w:line="276" w:lineRule="auto" w:after="0" w:before="0"/>
            </w:pPr>
            <w:r/>
            <w:r>
              <w:rPr>
                <w:rFonts w:ascii="Times New Roman" w:hAnsi="Times New Roman" w:eastAsia="標楷體"/>
                <w:b w:val="0"/>
                <w:sz w:val="22"/>
              </w:rPr>
              <w:t>供應鏈協同配送管理</w:t>
            </w:r>
          </w:p>
        </w:tc>
        <w:tc>
          <w:tcPr>
            <w:tcW w:type="dxa" w:w="2160"/>
          </w:tcPr>
          <w:p>
            <w:pPr>
              <w:spacing w:line="276" w:lineRule="auto" w:after="0" w:before="0"/>
            </w:pPr>
            <w:r/>
            <w:r>
              <w:rPr>
                <w:rFonts w:ascii="Times New Roman" w:hAnsi="Times New Roman" w:eastAsia="標楷體"/>
                <w:b w:val="0"/>
                <w:sz w:val="22"/>
              </w:rPr>
              <w:t>整併配送需求、批次排車、收貨驗收與供應商協同</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⑤</w:t>
            </w:r>
          </w:p>
        </w:tc>
        <w:tc>
          <w:tcPr>
            <w:tcW w:type="dxa" w:w="2160"/>
          </w:tcPr>
          <w:p>
            <w:pPr>
              <w:spacing w:line="276" w:lineRule="auto" w:after="0" w:before="0"/>
            </w:pPr>
            <w:r/>
            <w:r>
              <w:rPr>
                <w:rFonts w:ascii="Times New Roman" w:hAnsi="Times New Roman" w:eastAsia="標楷體"/>
                <w:b w:val="0"/>
                <w:sz w:val="22"/>
              </w:rPr>
              <w:t>營運管理儀表板</w:t>
            </w:r>
          </w:p>
        </w:tc>
        <w:tc>
          <w:tcPr>
            <w:tcW w:type="dxa" w:w="2160"/>
          </w:tcPr>
          <w:p>
            <w:pPr>
              <w:spacing w:line="276" w:lineRule="auto" w:after="0" w:before="0"/>
            </w:pPr>
            <w:r/>
            <w:r>
              <w:rPr>
                <w:rFonts w:ascii="Times New Roman" w:hAnsi="Times New Roman" w:eastAsia="標楷體"/>
                <w:b w:val="0"/>
                <w:sz w:val="22"/>
              </w:rPr>
              <w:t>彙整營運指標與預算執行供總部決策</w:t>
            </w:r>
          </w:p>
        </w:tc>
        <w:tc>
          <w:tcPr>
            <w:tcW w:type="dxa" w:w="2160"/>
          </w:tcPr>
          <w:p>
            <w:pPr>
              <w:spacing w:line="276" w:lineRule="auto" w:after="0" w:before="0"/>
            </w:pPr>
            <w:r/>
            <w:r>
              <w:rPr>
                <w:rFonts w:ascii="Times New Roman" w:hAnsi="Times New Roman" w:eastAsia="標楷體"/>
                <w:b w:val="0"/>
                <w:sz w:val="22"/>
              </w:rPr>
              <w:t>機制已建置、資料累積中</w:t>
            </w:r>
          </w:p>
        </w:tc>
      </w:tr>
      <w:tr>
        <w:tc>
          <w:tcPr>
            <w:tcW w:type="dxa" w:w="2160"/>
          </w:tcPr>
          <w:p>
            <w:pPr>
              <w:spacing w:line="276" w:lineRule="auto" w:after="0" w:before="0"/>
            </w:pPr>
            <w:r/>
            <w:r>
              <w:rPr>
                <w:rFonts w:ascii="Times New Roman" w:hAnsi="Times New Roman" w:eastAsia="標楷體"/>
                <w:b w:val="0"/>
                <w:sz w:val="22"/>
              </w:rPr>
              <w:t>⑥</w:t>
            </w:r>
          </w:p>
        </w:tc>
        <w:tc>
          <w:tcPr>
            <w:tcW w:type="dxa" w:w="2160"/>
          </w:tcPr>
          <w:p>
            <w:pPr>
              <w:spacing w:line="276" w:lineRule="auto" w:after="0" w:before="0"/>
            </w:pPr>
            <w:r/>
            <w:r>
              <w:rPr>
                <w:rFonts w:ascii="Times New Roman" w:hAnsi="Times New Roman" w:eastAsia="標楷體"/>
                <w:b w:val="0"/>
                <w:sz w:val="22"/>
              </w:rPr>
              <w:t>維修支援</w:t>
            </w:r>
          </w:p>
        </w:tc>
        <w:tc>
          <w:tcPr>
            <w:tcW w:type="dxa" w:w="2160"/>
          </w:tcPr>
          <w:p>
            <w:pPr>
              <w:spacing w:line="276" w:lineRule="auto" w:after="0" w:before="0"/>
            </w:pPr>
            <w:r/>
            <w:r>
              <w:rPr>
                <w:rFonts w:ascii="Times New Roman" w:hAnsi="Times New Roman" w:eastAsia="標楷體"/>
                <w:b w:val="0"/>
                <w:sz w:val="22"/>
              </w:rPr>
              <w:t>設備報修、固定資產管理與維修決策支援</w:t>
            </w:r>
          </w:p>
        </w:tc>
        <w:tc>
          <w:tcPr>
            <w:tcW w:type="dxa" w:w="2160"/>
          </w:tcPr>
          <w:p>
            <w:pPr>
              <w:spacing w:line="276" w:lineRule="auto" w:after="0" w:before="0"/>
            </w:pPr>
            <w:r/>
            <w:r>
              <w:rPr>
                <w:rFonts w:ascii="Times New Roman" w:hAnsi="Times New Roman" w:eastAsia="標楷體"/>
                <w:b w:val="0"/>
                <w:sz w:val="22"/>
              </w:rPr>
              <w:t>已完整（系統附屬功能）</w:t>
            </w:r>
          </w:p>
        </w:tc>
      </w:tr>
    </w:tbl>
    <w:p/>
    <w:p>
      <w:pPr>
        <w:spacing w:line="276" w:lineRule="auto" w:after="120" w:before="240"/>
        <w:jc w:val="left"/>
      </w:pPr>
      <w:r>
        <w:rPr>
          <w:rFonts w:ascii="Times New Roman" w:hAnsi="Times New Roman" w:eastAsia="標楷體"/>
          <w:b/>
          <w:color w:val="1F3A5F"/>
          <w:sz w:val="28"/>
        </w:rPr>
        <w:t>貳、驗證階段定義</w:t>
      </w:r>
    </w:p>
    <w:p>
      <w:pPr>
        <w:spacing w:line="276" w:lineRule="auto" w:after="120" w:before="0"/>
        <w:ind w:firstLine="480"/>
        <w:jc w:val="both"/>
      </w:pPr>
      <w:r>
        <w:rPr>
          <w:rFonts w:ascii="Times New Roman" w:hAnsi="Times New Roman" w:eastAsia="標楷體"/>
          <w:b w:val="0"/>
          <w:sz w:val="24"/>
        </w:rPr>
        <w:t>為使各模組之驗證進度有一致之衡量基準，本計畫就功能之驗證歷程區分為下列三個階段，後續各模組章節均依此三階段說明其驗證情形：</w:t>
      </w:r>
    </w:p>
    <w:p>
      <w:pPr>
        <w:spacing w:line="276" w:lineRule="auto" w:after="120" w:before="0"/>
        <w:jc w:val="left"/>
      </w:pPr>
      <w:r>
        <w:rPr>
          <w:rFonts w:ascii="Times New Roman" w:hAnsi="Times New Roman" w:eastAsia="標楷體"/>
          <w:b/>
          <w:sz w:val="28"/>
        </w:rPr>
        <w:t>一、概念驗證（POC，Proof of Concept）</w:t>
      </w:r>
    </w:p>
    <w:p>
      <w:pPr>
        <w:spacing w:line="276" w:lineRule="auto" w:after="120" w:before="0"/>
        <w:ind w:firstLine="480"/>
        <w:jc w:val="both"/>
      </w:pPr>
      <w:r>
        <w:rPr>
          <w:rFonts w:ascii="Times New Roman" w:hAnsi="Times New Roman" w:eastAsia="標楷體"/>
          <w:b w:val="0"/>
          <w:sz w:val="24"/>
        </w:rPr>
        <w:t>驗證功能於技術上確實做得出來——即演算法、流程與操作畫面能夠實際運行，且運算邏輯正確無誤。此階段確認「技術可行」。</w:t>
      </w:r>
    </w:p>
    <w:p>
      <w:pPr>
        <w:spacing w:line="276" w:lineRule="auto" w:after="120" w:before="0"/>
        <w:jc w:val="left"/>
      </w:pPr>
      <w:r>
        <w:rPr>
          <w:rFonts w:ascii="Times New Roman" w:hAnsi="Times New Roman" w:eastAsia="標楷體"/>
          <w:b/>
          <w:sz w:val="28"/>
        </w:rPr>
        <w:t>二、方案驗證（POS，Proof of Solution）</w:t>
      </w:r>
    </w:p>
    <w:p>
      <w:pPr>
        <w:spacing w:line="276" w:lineRule="auto" w:after="120" w:before="0"/>
        <w:ind w:firstLine="480"/>
        <w:jc w:val="both"/>
      </w:pPr>
      <w:r>
        <w:rPr>
          <w:rFonts w:ascii="Times New Roman" w:hAnsi="Times New Roman" w:eastAsia="標楷體"/>
          <w:b w:val="0"/>
          <w:sz w:val="24"/>
        </w:rPr>
        <w:t>驗證功能已組成完整而可操作之解決方案——即模組流程完整串接、前端與後端俱全，並經測試案例驗證，可供使用者實際操作。此階段確認「方案完整可用」。</w:t>
      </w:r>
    </w:p>
    <w:p>
      <w:pPr>
        <w:spacing w:line="276" w:lineRule="auto" w:after="120" w:before="0"/>
        <w:jc w:val="left"/>
      </w:pPr>
      <w:r>
        <w:rPr>
          <w:rFonts w:ascii="Times New Roman" w:hAnsi="Times New Roman" w:eastAsia="標楷體"/>
          <w:b/>
          <w:sz w:val="28"/>
        </w:rPr>
        <w:t>三、效益驗證（POB，Proof of Business）</w:t>
      </w:r>
    </w:p>
    <w:p>
      <w:pPr>
        <w:spacing w:line="276" w:lineRule="auto" w:after="120" w:before="0"/>
        <w:ind w:firstLine="480"/>
        <w:jc w:val="both"/>
      </w:pPr>
      <w:r>
        <w:rPr>
          <w:rFonts w:ascii="Times New Roman" w:hAnsi="Times New Roman" w:eastAsia="標楷體"/>
          <w:b w:val="0"/>
          <w:sz w:val="24"/>
        </w:rPr>
        <w:t>驗證功能於實際導入場域後確能產生營運效益——即有真實營運資料、使用者實際使用，且可見具體效益（如預測準確率、缺料率下降等）。此階段確認「導入見效」，須俟正式營運累積足夠資料後方能完成。</w:t>
      </w:r>
    </w:p>
    <w:p>
      <w:pPr>
        <w:spacing w:line="276" w:lineRule="auto" w:after="120" w:before="240"/>
        <w:jc w:val="left"/>
      </w:pPr>
      <w:r>
        <w:rPr>
          <w:rFonts w:ascii="Times New Roman" w:hAnsi="Times New Roman" w:eastAsia="標楷體"/>
          <w:b/>
          <w:color w:val="1F3A5F"/>
          <w:sz w:val="28"/>
        </w:rPr>
        <w:t>參、系統技術定位說明</w:t>
      </w:r>
    </w:p>
    <w:p>
      <w:pPr>
        <w:spacing w:line="276" w:lineRule="auto" w:after="120" w:before="0"/>
        <w:ind w:firstLine="480"/>
        <w:jc w:val="both"/>
      </w:pPr>
      <w:r>
        <w:rPr>
          <w:rFonts w:ascii="Times New Roman" w:hAnsi="Times New Roman" w:eastAsia="標楷體"/>
          <w:b w:val="0"/>
          <w:sz w:val="24"/>
        </w:rPr>
        <w:t>本平台各模組之智慧引擎，均採「規則式邏輯」與「統計分析演算法」建構而成。此一技術路線之選擇，係基於本計畫應用場景之本質需求：耗材採購、配送排序與異常判定皆牽涉營運成本與對外議價，每一項判斷均須能向現場人員、供應商與稽核單位清楚說明其依據。</w:t>
      </w:r>
    </w:p>
    <w:p>
      <w:pPr>
        <w:spacing w:line="276" w:lineRule="auto" w:after="120" w:before="0"/>
        <w:ind w:firstLine="480"/>
        <w:jc w:val="both"/>
      </w:pPr>
      <w:r>
        <w:rPr>
          <w:rFonts w:ascii="Times New Roman" w:hAnsi="Times New Roman" w:eastAsia="標楷體"/>
          <w:b w:val="0"/>
          <w:sz w:val="24"/>
        </w:rPr>
        <w:t>採規則與統計基準建構之引擎，具備下列特性：</w:t>
      </w:r>
    </w:p>
    <w:p>
      <w:pPr>
        <w:pStyle w:val="a0"/>
        <w:spacing w:line="276" w:lineRule="auto" w:after="120" w:before="0"/>
        <w:jc w:val="both"/>
      </w:pPr>
      <w:r>
        <w:rPr>
          <w:rFonts w:ascii="Times New Roman" w:hAnsi="Times New Roman" w:eastAsia="標楷體"/>
          <w:b/>
          <w:sz w:val="24"/>
        </w:rPr>
        <w:t>決策可追溯</w:t>
      </w:r>
      <w:r>
        <w:rPr>
          <w:rFonts w:ascii="Times New Roman" w:hAnsi="Times New Roman" w:eastAsia="標楷體"/>
          <w:b w:val="0"/>
          <w:sz w:val="24"/>
        </w:rPr>
        <w:t>：每一筆預測值、每一項排序結果、每一則異常告警，均可回溯其計算過程與輸入資料。</w:t>
      </w:r>
    </w:p>
    <w:p>
      <w:pPr>
        <w:pStyle w:val="a0"/>
        <w:spacing w:line="276" w:lineRule="auto" w:after="120" w:before="0"/>
        <w:jc w:val="both"/>
      </w:pPr>
      <w:r>
        <w:rPr>
          <w:rFonts w:ascii="Times New Roman" w:hAnsi="Times New Roman" w:eastAsia="標楷體"/>
          <w:b/>
          <w:sz w:val="24"/>
        </w:rPr>
        <w:t>結果可解釋</w:t>
      </w:r>
      <w:r>
        <w:rPr>
          <w:rFonts w:ascii="Times New Roman" w:hAnsi="Times New Roman" w:eastAsia="標楷體"/>
          <w:b w:val="0"/>
          <w:sz w:val="24"/>
        </w:rPr>
        <w:t>：判斷結果能以明確之計算式與比較基準呈現，例如「本月用量高於近期基準若干比例」，而非僅提供一個無從查考之結論。</w:t>
      </w:r>
    </w:p>
    <w:p>
      <w:pPr>
        <w:pStyle w:val="a0"/>
        <w:spacing w:line="276" w:lineRule="auto" w:after="120" w:before="0"/>
        <w:jc w:val="both"/>
      </w:pPr>
      <w:r>
        <w:rPr>
          <w:rFonts w:ascii="Times New Roman" w:hAnsi="Times New Roman" w:eastAsia="標楷體"/>
          <w:b/>
          <w:sz w:val="24"/>
        </w:rPr>
        <w:t>過程可稽核</w:t>
      </w:r>
      <w:r>
        <w:rPr>
          <w:rFonts w:ascii="Times New Roman" w:hAnsi="Times New Roman" w:eastAsia="標楷體"/>
          <w:b w:val="0"/>
          <w:sz w:val="24"/>
        </w:rPr>
        <w:t>：所有高風險異動均寫入事件紀錄，供內部稽核與補助案查核之用。</w:t>
      </w:r>
    </w:p>
    <w:p>
      <w:pPr>
        <w:spacing w:line="276" w:lineRule="auto" w:after="120" w:before="0"/>
        <w:ind w:firstLine="480"/>
        <w:jc w:val="both"/>
      </w:pPr>
      <w:r>
        <w:rPr>
          <w:rFonts w:ascii="Times New Roman" w:hAnsi="Times New Roman" w:eastAsia="標楷體"/>
          <w:b w:val="0"/>
          <w:sz w:val="24"/>
        </w:rPr>
        <w:t>上述特性使本平台之AI輔助結果能被使用者理解、被管理者採信、被稽核單位查驗，為耗材供應鏈此類高度重視成本控管與責任歸屬之場景，提供穩健而透明之決策支援基礎。</w:t>
      </w:r>
    </w:p>
    <w:p>
      <w:pPr>
        <w:spacing w:line="276" w:lineRule="auto" w:after="120" w:before="240"/>
        <w:jc w:val="left"/>
      </w:pPr>
      <w:r>
        <w:rPr>
          <w:rFonts w:ascii="Times New Roman" w:hAnsi="Times New Roman" w:eastAsia="標楷體"/>
          <w:b/>
          <w:color w:val="1F3A5F"/>
          <w:sz w:val="28"/>
        </w:rPr>
        <w:t>肆、AI耗材需求預測（模組①）</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為各服務場域之各項耗材品項，推估其次月之需求量，作為每月訂貨之系統建議值，使現場人員由「憑經驗填量」轉為「在系統建議值上調整」，降低缺料與囤料風險。</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歷史領用統計預測，並就無歷史資料之品項提供冷啟動處理。</w:t>
      </w:r>
    </w:p>
    <w:p>
      <w:pPr>
        <w:pStyle w:val="a0"/>
        <w:spacing w:line="276" w:lineRule="auto" w:after="120" w:before="0"/>
        <w:jc w:val="both"/>
      </w:pPr>
      <w:r>
        <w:rPr>
          <w:rFonts w:ascii="Times New Roman" w:hAnsi="Times New Roman" w:eastAsia="標楷體"/>
          <w:b w:val="0"/>
          <w:sz w:val="24"/>
        </w:rPr>
        <w:t>安全水位計算（以近三個月平均用量之一點五倍為基準）。</w:t>
      </w:r>
    </w:p>
    <w:p>
      <w:pPr>
        <w:pStyle w:val="a0"/>
        <w:spacing w:line="276" w:lineRule="auto" w:after="120" w:before="0"/>
        <w:jc w:val="both"/>
      </w:pPr>
      <w:r>
        <w:rPr>
          <w:rFonts w:ascii="Times New Roman" w:hAnsi="Times New Roman" w:eastAsia="標楷體"/>
          <w:b w:val="0"/>
          <w:sz w:val="24"/>
        </w:rPr>
        <w:t>品項規律性分類（常態型、混合型、間歇型），據以決定是否納入自動草稿。</w:t>
      </w:r>
    </w:p>
    <w:p>
      <w:pPr>
        <w:pStyle w:val="a0"/>
        <w:spacing w:line="276" w:lineRule="auto" w:after="120" w:before="0"/>
        <w:jc w:val="both"/>
      </w:pPr>
      <w:r>
        <w:rPr>
          <w:rFonts w:ascii="Times New Roman" w:hAnsi="Times New Roman" w:eastAsia="標楷體"/>
          <w:b w:val="0"/>
          <w:sz w:val="24"/>
        </w:rPr>
        <w:t>每月以加權絕對百分比誤差（WAPE）進行準確率校準。</w:t>
      </w:r>
    </w:p>
    <w:p>
      <w:pPr>
        <w:pStyle w:val="a0"/>
        <w:spacing w:line="276" w:lineRule="auto" w:after="120" w:before="0"/>
        <w:jc w:val="both"/>
      </w:pPr>
      <w:r>
        <w:rPr>
          <w:rFonts w:ascii="Times New Roman" w:hAnsi="Times New Roman" w:eastAsia="標楷體"/>
          <w:b w:val="0"/>
          <w:sz w:val="24"/>
        </w:rPr>
        <w:t>提供預測看板、準確率視圖與資料回填頁三項操作畫面。</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需求預測以統計方法建構。主系統之訂單服務（consumable.service）內建「依場域推估」（forecastBySite）之統計預測邏輯，計算各場域各品項之基準需求量；另備有獨立之外部預測引擎（以 Python 建置，預設關閉、以旗標控管），可於評估後逐步開放。系統並可納入外部因子（如假日天數、天候、人流等）調整預測結果。整體演算法均為可解釋之統計與規則運算。</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預測演算法與看板畫面均可實際運行、邏輯正確</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前後端完整串接，計約 28 項測試案例，並有耗材月節奏端對端測試</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須俟各場域真實用量累積後方能驗證預測準確率</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預測機制、三項操作畫面與校準流程均已完成建置並可實際操作。就準確率之驗證，須誠實敘明：目前準確率之計算口徑係以各場域「叫貨量」進行比對，且統計數據中包含雲林示範場域之資料；真實「耗用量」層級之準確率，須待各場域確實落實「領用扣帳」（即每次領用耗材時於系統登錄扣減）後，方能產生。準確率達成率須達百分之七十以上之目標，屬效益驗證（POB）事項，列於補助案 C2 查核點（一一六年一月）進行驗證。本模組相關測試案例約 28 項，均已通過。</w:t>
      </w:r>
    </w:p>
    <w:p>
      <w:pPr>
        <w:spacing w:line="276" w:lineRule="auto" w:after="120" w:before="240"/>
        <w:jc w:val="left"/>
      </w:pPr>
      <w:r>
        <w:rPr>
          <w:rFonts w:ascii="Times New Roman" w:hAnsi="Times New Roman" w:eastAsia="標楷體"/>
          <w:b/>
          <w:color w:val="1F3A5F"/>
          <w:sz w:val="28"/>
        </w:rPr>
        <w:t>伍、異常預警（模組②）</w:t>
      </w:r>
    </w:p>
    <w:p>
      <w:pPr>
        <w:spacing w:line="276" w:lineRule="auto" w:after="120" w:before="0"/>
        <w:ind w:firstLine="480"/>
        <w:jc w:val="both"/>
      </w:pPr>
      <w:r>
        <w:rPr>
          <w:rFonts w:ascii="Times New Roman" w:hAnsi="Times New Roman" w:eastAsia="標楷體"/>
          <w:b w:val="0"/>
          <w:sz w:val="24"/>
        </w:rPr>
        <w:t>（成熟度：已完整可導入）</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自動偵測耗材供應鏈之各類異常情形並主動預警，使潛在之缺料與供應風險能於發生前被察覺，而非事後補救。</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六種異常類型偵測：低庫存、異常消耗、回報遲延、長期未補貨、需求暴增、供貨延遲。</w:t>
      </w:r>
    </w:p>
    <w:p>
      <w:pPr>
        <w:pStyle w:val="a0"/>
        <w:spacing w:line="276" w:lineRule="auto" w:after="120" w:before="0"/>
        <w:jc w:val="both"/>
      </w:pPr>
      <w:r>
        <w:rPr>
          <w:rFonts w:ascii="Times New Roman" w:hAnsi="Times New Roman" w:eastAsia="標楷體"/>
          <w:b w:val="0"/>
          <w:sz w:val="24"/>
        </w:rPr>
        <w:t>三級嚴重程度門檻（低、中、高），門檻參數可由各企業覆寫。</w:t>
      </w:r>
    </w:p>
    <w:p>
      <w:pPr>
        <w:pStyle w:val="a0"/>
        <w:spacing w:line="276" w:lineRule="auto" w:after="120" w:before="0"/>
        <w:jc w:val="both"/>
      </w:pPr>
      <w:r>
        <w:rPr>
          <w:rFonts w:ascii="Times New Roman" w:hAnsi="Times New Roman" w:eastAsia="標楷體"/>
          <w:b w:val="0"/>
          <w:sz w:val="24"/>
        </w:rPr>
        <w:t>去重合併機制：同一案件累加計算而不重複開單，僅於升級時再行通知，避免告警氾濫。</w:t>
      </w:r>
    </w:p>
    <w:p>
      <w:pPr>
        <w:pStyle w:val="a0"/>
        <w:spacing w:line="276" w:lineRule="auto" w:after="120" w:before="0"/>
        <w:jc w:val="both"/>
      </w:pPr>
      <w:r>
        <w:rPr>
          <w:rFonts w:ascii="Times New Roman" w:hAnsi="Times New Roman" w:eastAsia="標楷體"/>
          <w:b w:val="0"/>
          <w:sz w:val="24"/>
        </w:rPr>
        <w:t>每日自動排程巡檢。</w:t>
      </w:r>
    </w:p>
    <w:p>
      <w:pPr>
        <w:pStyle w:val="a0"/>
        <w:spacing w:line="276" w:lineRule="auto" w:after="120" w:before="0"/>
        <w:jc w:val="both"/>
      </w:pPr>
      <w:r>
        <w:rPr>
          <w:rFonts w:ascii="Times New Roman" w:hAnsi="Times New Roman" w:eastAsia="標楷體"/>
          <w:b w:val="0"/>
          <w:sz w:val="24"/>
        </w:rPr>
        <w:t>供應商端可就指名之異常於平台一鍵回覆處理情形。</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本模組以規則門檻引擎（alert-engine）建構，內含三個偵測器分別處理庫存面、流程面與需求面之異常，並搭配每日排程自動執行。所有告警之產生均依明確之門檻規則判定，結果可追溯至觸發條件與相關資料。</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六類型偵測邏輯與分級去重機制均可實際運行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規則引擎、排程與通知完整串接並經測試</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可導入</w:t>
            </w:r>
          </w:p>
        </w:tc>
        <w:tc>
          <w:tcPr>
            <w:tcW w:type="dxa" w:w="2880"/>
          </w:tcPr>
          <w:p>
            <w:pPr>
              <w:spacing w:line="276" w:lineRule="auto" w:after="0" w:before="0"/>
            </w:pPr>
            <w:r/>
            <w:r>
              <w:rPr>
                <w:rFonts w:ascii="Times New Roman" w:hAnsi="Times New Roman" w:eastAsia="標楷體"/>
                <w:b w:val="0"/>
                <w:sz w:val="22"/>
              </w:rPr>
              <w:t>規則、排程與通知均已完備，具備正式導入條件</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本模組為五大耗材模組中最為成熟者，規則引擎、每日排程與雙向通知均已完備，具備正式導入之條件。本模組之測試案例最為完整，計 106 項，另含告警撤回情境 6 項，均已通過。實際之告警數量與效益，須俟正式營運後隨資料累積呈現，屬效益驗證持續觀察事項。</w:t>
      </w:r>
    </w:p>
    <w:p>
      <w:pPr>
        <w:spacing w:line="276" w:lineRule="auto" w:after="120" w:before="240"/>
        <w:jc w:val="left"/>
      </w:pPr>
      <w:r>
        <w:rPr>
          <w:rFonts w:ascii="Times New Roman" w:hAnsi="Times New Roman" w:eastAsia="標楷體"/>
          <w:b/>
          <w:color w:val="1F3A5F"/>
          <w:sz w:val="28"/>
        </w:rPr>
        <w:t>陸、AI補貨建議（模組③）</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將需求預測結果轉換為具體之請購與採購建議，並自動帶入合適之供應商，協助採購人員由「逐項判斷向誰採購、採購多少」轉為「在系統建議上覆核」。</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供應商優先序四來源判定：人工指定優先於主檔順序，其次為上次採購對象，再次為可供應清單。</w:t>
      </w:r>
    </w:p>
    <w:p>
      <w:pPr>
        <w:pStyle w:val="a0"/>
        <w:spacing w:line="276" w:lineRule="auto" w:after="120" w:before="0"/>
        <w:jc w:val="both"/>
      </w:pPr>
      <w:r>
        <w:rPr>
          <w:rFonts w:ascii="Times New Roman" w:hAnsi="Times New Roman" w:eastAsia="標楷體"/>
          <w:b w:val="0"/>
          <w:sz w:val="24"/>
        </w:rPr>
        <w:t>三來源混搭發單：綜合現有庫存、倉庫調撥與對外採購三種來源產生採購單與倉調單。</w:t>
      </w:r>
    </w:p>
    <w:p>
      <w:pPr>
        <w:pStyle w:val="a0"/>
        <w:spacing w:line="276" w:lineRule="auto" w:after="120" w:before="0"/>
        <w:jc w:val="both"/>
      </w:pPr>
      <w:r>
        <w:rPr>
          <w:rFonts w:ascii="Times New Roman" w:hAnsi="Times New Roman" w:eastAsia="標楷體"/>
          <w:b w:val="0"/>
          <w:sz w:val="24"/>
        </w:rPr>
        <w:t>安全庫存不足時自動轉為請購建議。</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本模組以規則式邏輯建構供應商優先序判定與來源混搭之發單流程。供應商之選定依明確之優先序規則逐層判定，採購來源之分配依庫存與安全水位規則計算，每一筆建議均可回溯其判定依據。</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供應商優先序與來源混搭邏輯均可實際運行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前後端完整串接，計約 52 項測試案例</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採購建議轉換率須俟正式營運資料累積後驗證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供應商優先序與三來源混搭發單機制均已完成建置並可操作。須誠實敘明者：供應商優先序規則於一一五年八月方定案；就供應商報價之認定，現階段採較寬鬆之認列方式並標示其來源，俟物價主檔資料補齊後，將再行收緊認定標準。AI採購建議轉換率之關鍵指標，須俟正式營運資料累積後方能驗證，屬效益驗證事項。本模組相關測試案例計供應商優先序 52 項、發單 15 項、調撥 6 項，均已通過。</w:t>
      </w:r>
    </w:p>
    <w:p>
      <w:pPr>
        <w:spacing w:line="276" w:lineRule="auto" w:after="120" w:before="240"/>
        <w:jc w:val="left"/>
      </w:pPr>
      <w:r>
        <w:rPr>
          <w:rFonts w:ascii="Times New Roman" w:hAnsi="Times New Roman" w:eastAsia="標楷體"/>
          <w:b/>
          <w:color w:val="1F3A5F"/>
          <w:sz w:val="28"/>
        </w:rPr>
        <w:t>柒、供應鏈協同配送管理（模組④）</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整併各服務場域之配送需求、進行批次排車、辦理收貨驗收，並提供供應商協同介面，提升多場域配送之整併效率與協同透明度。本模組為一一五年八月二十二日期中關懷會議之主要展示項目。</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需求整併：依區域與急迫程度分組，並計算整併率。</w:t>
      </w:r>
    </w:p>
    <w:p>
      <w:pPr>
        <w:pStyle w:val="a0"/>
        <w:spacing w:line="276" w:lineRule="auto" w:after="120" w:before="0"/>
        <w:jc w:val="both"/>
      </w:pPr>
      <w:r>
        <w:rPr>
          <w:rFonts w:ascii="Times New Roman" w:hAnsi="Times New Roman" w:eastAsia="標楷體"/>
          <w:b w:val="0"/>
          <w:sz w:val="24"/>
        </w:rPr>
        <w:t>批次狀態流程：草稿 → 已排定 → 配送中，狀態逐步推進。</w:t>
      </w:r>
    </w:p>
    <w:p>
      <w:pPr>
        <w:pStyle w:val="a0"/>
        <w:spacing w:line="276" w:lineRule="auto" w:after="120" w:before="0"/>
        <w:jc w:val="both"/>
      </w:pPr>
      <w:r>
        <w:rPr>
          <w:rFonts w:ascii="Times New Roman" w:hAnsi="Times New Roman" w:eastAsia="標楷體"/>
          <w:b w:val="0"/>
          <w:sz w:val="24"/>
        </w:rPr>
        <w:t>收貨驗收：驗收前進行來源庫存預檢，確保帳實相符。</w:t>
      </w:r>
    </w:p>
    <w:p>
      <w:pPr>
        <w:pStyle w:val="a0"/>
        <w:spacing w:line="276" w:lineRule="auto" w:after="120" w:before="0"/>
        <w:jc w:val="both"/>
      </w:pPr>
      <w:r>
        <w:rPr>
          <w:rFonts w:ascii="Times New Roman" w:hAnsi="Times New Roman" w:eastAsia="標楷體"/>
          <w:b w:val="0"/>
          <w:sz w:val="24"/>
        </w:rPr>
        <w:t>供應商協同：供應商可接收補貨建議、回應異常並取得配送資訊。</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不採用路徑最佳化黑箱演算法，而以可解釋之規則排序產出配送建議，依急迫分數與行政區相鄰等規則整併需求，使排程結果能向現場說明依據並供稽核。批次狀態流程以純函式實作，前後端共用同一套狀態轉換規則，避免規則於各處分歧。</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整併排單與批次狀態流程均可實際運行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前後端完整串接，計約 69 項測試案例</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協作功能使用率須俟正式營運資料累積後驗證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需求整併、批次排車、收貨驗收與供應商協同介面均已完成建置並可操作，並已於一一五年八月二十二日期中關懷會議現場展示。協作功能之實際使用率須俟正式營運資料累積後方能驗證，屬效益驗證事項。本模組相關測試案例計配送 69 項、短收 8 項，另有供應商資料隔離之端對端測試，均已通過。</w:t>
      </w:r>
    </w:p>
    <w:p>
      <w:pPr>
        <w:spacing w:line="276" w:lineRule="auto" w:after="120" w:before="240"/>
        <w:jc w:val="left"/>
      </w:pPr>
      <w:r>
        <w:rPr>
          <w:rFonts w:ascii="Times New Roman" w:hAnsi="Times New Roman" w:eastAsia="標楷體"/>
          <w:b/>
          <w:color w:val="1F3A5F"/>
          <w:sz w:val="28"/>
        </w:rPr>
        <w:t>捌、營運管理儀表板（模組⑤）</w:t>
      </w:r>
    </w:p>
    <w:p>
      <w:pPr>
        <w:spacing w:line="276" w:lineRule="auto" w:after="120" w:before="0"/>
        <w:ind w:firstLine="480"/>
        <w:jc w:val="both"/>
      </w:pPr>
      <w:r>
        <w:rPr>
          <w:rFonts w:ascii="Times New Roman" w:hAnsi="Times New Roman" w:eastAsia="標楷體"/>
          <w:b w:val="0"/>
          <w:sz w:val="24"/>
        </w:rPr>
        <w:t>（成熟度：機制已建置、資料累積中）</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彙整營運全貌，以圖表與指標呈現耗材供應鏈之整體狀況，供總部進行決策與資源調度。</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五項關鍵績效指標（KPI）視圖，直接對應補助案 C2 之驗收指標：預測準確率、庫存持有天數、AI建議轉換率、供應商使用率、操作量。</w:t>
      </w:r>
    </w:p>
    <w:p>
      <w:pPr>
        <w:pStyle w:val="a0"/>
        <w:spacing w:line="276" w:lineRule="auto" w:after="120" w:before="0"/>
        <w:jc w:val="both"/>
      </w:pPr>
      <w:r>
        <w:rPr>
          <w:rFonts w:ascii="Times New Roman" w:hAnsi="Times New Roman" w:eastAsia="標楷體"/>
          <w:b w:val="0"/>
          <w:sz w:val="24"/>
        </w:rPr>
        <w:t>預算執行總表。</w:t>
      </w:r>
    </w:p>
    <w:p>
      <w:pPr>
        <w:pStyle w:val="a0"/>
        <w:spacing w:line="276" w:lineRule="auto" w:after="120" w:before="0"/>
        <w:jc w:val="both"/>
      </w:pPr>
      <w:r>
        <w:rPr>
          <w:rFonts w:ascii="Times New Roman" w:hAnsi="Times New Roman" w:eastAsia="標楷體"/>
          <w:b w:val="0"/>
          <w:sz w:val="24"/>
        </w:rPr>
        <w:t>月節奏總覽。</w:t>
      </w:r>
    </w:p>
    <w:p>
      <w:pPr>
        <w:pStyle w:val="a0"/>
        <w:spacing w:line="276" w:lineRule="auto" w:after="120" w:before="0"/>
        <w:jc w:val="both"/>
      </w:pPr>
      <w:r>
        <w:rPr>
          <w:rFonts w:ascii="Times New Roman" w:hAnsi="Times New Roman" w:eastAsia="標楷體"/>
          <w:b w:val="0"/>
          <w:sz w:val="24"/>
        </w:rPr>
        <w:t>各項指標之下鑽查詢。</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本模組彙整前述各模組之運算結果與營運資料，以統計方式計算各項指標並以圖表呈現，指標之計算口徑均可追溯至來源資料，供稽核查驗。</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KPI 視圖與下鑽查詢均可實際運行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前後端完整串接並經測試</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KPI 數值須俟正式營運資料累積後驗證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本模組之五項 KPI 視圖、預算執行總表與月節奏總覽均已完成建置並可操作。須誠實敘明者：各項 KPI 之視圖雖已具備，惟其口徑門檻尚待審查委員確認，且各項數值須俟正式營運資料累積後方具代表性。依補助案規劃，正式營運須累積三個月以上之資料，相關 KPI 數值之達成情形列於 C2 查核點（一一六年一月）驗證。本模組相關測試案例計預算彙總 6 項，另有耗材範圍之端對端測試，均已通過。</w:t>
      </w:r>
    </w:p>
    <w:p>
      <w:pPr>
        <w:spacing w:line="276" w:lineRule="auto" w:after="120" w:before="240"/>
        <w:jc w:val="left"/>
      </w:pPr>
      <w:r>
        <w:rPr>
          <w:rFonts w:ascii="Times New Roman" w:hAnsi="Times New Roman" w:eastAsia="標楷體"/>
          <w:b/>
          <w:color w:val="1F3A5F"/>
          <w:sz w:val="28"/>
        </w:rPr>
        <w:t>玖、維修支援（模組⑥）</w:t>
      </w:r>
    </w:p>
    <w:p>
      <w:pPr>
        <w:spacing w:line="276" w:lineRule="auto" w:after="120" w:before="0"/>
        <w:ind w:firstLine="480"/>
        <w:jc w:val="both"/>
      </w:pPr>
      <w:r>
        <w:rPr>
          <w:rFonts w:ascii="Times New Roman" w:hAnsi="Times New Roman" w:eastAsia="標楷體"/>
          <w:b w:val="0"/>
          <w:sz w:val="24"/>
        </w:rPr>
        <w:t>（成熟度：已完整；系統附屬功能）</w:t>
      </w:r>
    </w:p>
    <w:p>
      <w:pPr>
        <w:spacing w:line="276" w:lineRule="auto" w:after="120" w:before="0"/>
        <w:ind w:firstLine="480"/>
        <w:jc w:val="both"/>
      </w:pPr>
      <w:r>
        <w:rPr>
          <w:rFonts w:ascii="Times New Roman" w:hAnsi="Times New Roman" w:eastAsia="標楷體"/>
          <w:b w:val="0"/>
          <w:sz w:val="24"/>
        </w:rPr>
        <w:t>說明：本計畫補助之核心為前述五大耗材AI模組，維修支援嚴格而言屬本平台之系統附屬功能。惟其設備報修、資產管理與維修決策支援之機制已建置完整，爰依實際完成情形一併納入本文件說明。</w:t>
      </w:r>
    </w:p>
    <w:p>
      <w:pPr>
        <w:spacing w:line="276" w:lineRule="auto" w:after="120" w:before="0"/>
        <w:jc w:val="left"/>
      </w:pPr>
      <w:r>
        <w:rPr>
          <w:rFonts w:ascii="Times New Roman" w:hAnsi="Times New Roman" w:eastAsia="標楷體"/>
          <w:b/>
          <w:sz w:val="28"/>
        </w:rPr>
        <w:t>（一）應用面向</w:t>
      </w:r>
    </w:p>
    <w:p>
      <w:pPr>
        <w:spacing w:line="276" w:lineRule="auto" w:after="120" w:before="0"/>
        <w:ind w:firstLine="480"/>
        <w:jc w:val="both"/>
      </w:pPr>
      <w:r>
        <w:rPr>
          <w:rFonts w:ascii="Times New Roman" w:hAnsi="Times New Roman" w:eastAsia="標楷體"/>
          <w:b w:val="0"/>
          <w:sz w:val="24"/>
        </w:rPr>
        <w:t>提供設備報修、固定資產管理與維修決策支援三項功能，協助各場域就設備維修由「逐案憑經驗處理」轉為「以台帳與成本試算為本」之可稽核決策。</w:t>
      </w:r>
    </w:p>
    <w:p>
      <w:pPr>
        <w:spacing w:line="276" w:lineRule="auto" w:after="120" w:before="0"/>
        <w:jc w:val="left"/>
      </w:pPr>
      <w:r>
        <w:rPr>
          <w:rFonts w:ascii="Times New Roman" w:hAnsi="Times New Roman" w:eastAsia="標楷體"/>
          <w:b/>
          <w:sz w:val="28"/>
        </w:rPr>
        <w:t>（二）主要功能</w:t>
      </w:r>
    </w:p>
    <w:p>
      <w:pPr>
        <w:pStyle w:val="a0"/>
        <w:spacing w:line="276" w:lineRule="auto" w:after="120" w:before="0"/>
        <w:jc w:val="both"/>
      </w:pPr>
      <w:r>
        <w:rPr>
          <w:rFonts w:ascii="Times New Roman" w:hAnsi="Times New Roman" w:eastAsia="標楷體"/>
          <w:b w:val="0"/>
          <w:sz w:val="24"/>
        </w:rPr>
        <w:t>報修單狀態機：待受理 → 已派工 → 處理中 → 已完工，並可退回或作廢；單號以民國年月加流水編碼。</w:t>
      </w:r>
    </w:p>
    <w:p>
      <w:pPr>
        <w:pStyle w:val="a0"/>
        <w:spacing w:line="276" w:lineRule="auto" w:after="120" w:before="0"/>
        <w:jc w:val="both"/>
      </w:pPr>
      <w:r>
        <w:rPr>
          <w:rFonts w:ascii="Times New Roman" w:hAnsi="Times New Roman" w:eastAsia="標楷體"/>
          <w:b w:val="0"/>
          <w:sz w:val="24"/>
        </w:rPr>
        <w:t>固定資產台帳：搭配直線折舊法計算資產帳面價值，並提供汰換判斷（累計維修費用超過重置成本百分之六十時建議汰換）。</w:t>
      </w:r>
    </w:p>
    <w:p>
      <w:pPr>
        <w:pStyle w:val="a0"/>
        <w:spacing w:line="276" w:lineRule="auto" w:after="120" w:before="0"/>
        <w:jc w:val="both"/>
      </w:pPr>
      <w:r>
        <w:rPr>
          <w:rFonts w:ascii="Times New Roman" w:hAnsi="Times New Roman" w:eastAsia="標楷體"/>
          <w:b w:val="0"/>
          <w:sz w:val="24"/>
        </w:rPr>
        <w:t>服務時效（SLA）四階段管理：受理、派工、到場、完工，逾時依程度分低、中、高。</w:t>
      </w:r>
    </w:p>
    <w:p>
      <w:pPr>
        <w:pStyle w:val="a0"/>
        <w:spacing w:line="276" w:lineRule="auto" w:after="120" w:before="0"/>
        <w:jc w:val="both"/>
      </w:pPr>
      <w:r>
        <w:rPr>
          <w:rFonts w:ascii="Times New Roman" w:hAnsi="Times New Roman" w:eastAsia="標楷體"/>
          <w:b w:val="0"/>
          <w:sz w:val="24"/>
        </w:rPr>
        <w:t>維修決策支援：逐項核價（比對標準價與同型號歷史 P50／P75／P90 分位）、停機工資推估、維修／調度／新購三案年化成本試算，並產生最終建議（汰換優於調度、調度優於議價、議價優於照修），所有判斷均存為快照供稽核。</w:t>
      </w:r>
    </w:p>
    <w:p>
      <w:pPr>
        <w:spacing w:line="276" w:lineRule="auto" w:after="120" w:before="0"/>
        <w:jc w:val="left"/>
      </w:pPr>
      <w:r>
        <w:rPr>
          <w:rFonts w:ascii="Times New Roman" w:hAnsi="Times New Roman" w:eastAsia="標楷體"/>
          <w:b/>
          <w:sz w:val="28"/>
        </w:rPr>
        <w:t>（三）建置方式</w:t>
      </w:r>
    </w:p>
    <w:p>
      <w:pPr>
        <w:spacing w:line="276" w:lineRule="auto" w:after="120" w:before="0"/>
        <w:ind w:firstLine="480"/>
        <w:jc w:val="both"/>
      </w:pPr>
      <w:r>
        <w:rPr>
          <w:rFonts w:ascii="Times New Roman" w:hAnsi="Times New Roman" w:eastAsia="標楷體"/>
          <w:b w:val="0"/>
          <w:sz w:val="24"/>
        </w:rPr>
        <w:t>本模組以純函式之規則與統計引擎建構，運用分位數、年化成本與折舊等統計方法，每一項判斷均產出可檢視之比較基準（如與標準價之差額、與歷史分位之相對位置）。對應之後端程式包含資產與折舊、報修流程、服務時效與決策等模組；前端提供資產台帳、報修支援、維修決策與時效設定等操作畫面。</w:t>
      </w:r>
    </w:p>
    <w:p>
      <w:pPr>
        <w:spacing w:line="276" w:lineRule="auto" w:after="120" w:before="0"/>
        <w:jc w:val="left"/>
      </w:pPr>
      <w:r>
        <w:rPr>
          <w:rFonts w:ascii="Times New Roman" w:hAnsi="Times New Roman" w:eastAsia="標楷體"/>
          <w:b/>
          <w:sz w:val="28"/>
        </w:rPr>
        <w:t>（四）驗證情形</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階段</w:t>
            </w:r>
          </w:p>
        </w:tc>
        <w:tc>
          <w:tcPr>
            <w:tcW w:type="dxa" w:w="2880"/>
          </w:tcPr>
          <w:p>
            <w:pPr>
              <w:spacing w:line="276" w:lineRule="auto" w:after="0" w:before="0"/>
            </w:pPr>
            <w:r/>
            <w:r>
              <w:rPr>
                <w:rFonts w:ascii="Times New Roman" w:hAnsi="Times New Roman" w:eastAsia="標楷體"/>
                <w:b/>
                <w:sz w:val="22"/>
              </w:rPr>
              <w:t>狀態</w:t>
            </w:r>
          </w:p>
        </w:tc>
        <w:tc>
          <w:tcPr>
            <w:tcW w:type="dxa" w:w="2880"/>
          </w:tcPr>
          <w:p>
            <w:pPr>
              <w:spacing w:line="276" w:lineRule="auto" w:after="0" w:before="0"/>
            </w:pPr>
            <w:r/>
            <w:r>
              <w:rPr>
                <w:rFonts w:ascii="Times New Roman" w:hAnsi="Times New Roman" w:eastAsia="標楷體"/>
                <w:b/>
                <w:sz w:val="22"/>
              </w:rPr>
              <w:t>佐證</w:t>
            </w:r>
          </w:p>
        </w:tc>
      </w:tr>
      <w:tr>
        <w:tc>
          <w:tcPr>
            <w:tcW w:type="dxa" w:w="2880"/>
          </w:tcPr>
          <w:p>
            <w:pPr>
              <w:spacing w:line="276" w:lineRule="auto" w:after="0" w:before="0"/>
            </w:pPr>
            <w:r/>
            <w:r>
              <w:rPr>
                <w:rFonts w:ascii="Times New Roman" w:hAnsi="Times New Roman" w:eastAsia="標楷體"/>
                <w:b w:val="0"/>
                <w:sz w:val="22"/>
              </w:rPr>
              <w:t>概念驗證（POC）</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狀態機、核價與折舊等演算法均可實際運行</w:t>
            </w:r>
          </w:p>
        </w:tc>
      </w:tr>
      <w:tr>
        <w:tc>
          <w:tcPr>
            <w:tcW w:type="dxa" w:w="2880"/>
          </w:tcPr>
          <w:p>
            <w:pPr>
              <w:spacing w:line="276" w:lineRule="auto" w:after="0" w:before="0"/>
            </w:pPr>
            <w:r/>
            <w:r>
              <w:rPr>
                <w:rFonts w:ascii="Times New Roman" w:hAnsi="Times New Roman" w:eastAsia="標楷體"/>
                <w:b w:val="0"/>
                <w:sz w:val="22"/>
              </w:rPr>
              <w:t>方案驗證（POS）</w:t>
            </w:r>
          </w:p>
        </w:tc>
        <w:tc>
          <w:tcPr>
            <w:tcW w:type="dxa" w:w="2880"/>
          </w:tcPr>
          <w:p>
            <w:pPr>
              <w:spacing w:line="276" w:lineRule="auto" w:after="0" w:before="0"/>
            </w:pPr>
            <w:r/>
            <w:r>
              <w:rPr>
                <w:rFonts w:ascii="Times New Roman" w:hAnsi="Times New Roman" w:eastAsia="標楷體"/>
                <w:b w:val="0"/>
                <w:sz w:val="22"/>
              </w:rPr>
              <w:t>已通過</w:t>
            </w:r>
          </w:p>
        </w:tc>
        <w:tc>
          <w:tcPr>
            <w:tcW w:type="dxa" w:w="2880"/>
          </w:tcPr>
          <w:p>
            <w:pPr>
              <w:spacing w:line="276" w:lineRule="auto" w:after="0" w:before="0"/>
            </w:pPr>
            <w:r/>
            <w:r>
              <w:rPr>
                <w:rFonts w:ascii="Times New Roman" w:hAnsi="Times New Roman" w:eastAsia="標楷體"/>
                <w:b w:val="0"/>
                <w:sz w:val="22"/>
              </w:rPr>
              <w:t>前後端完整串接，測試齊全（涵蓋決策、報修流程、時效、折舊、資產匯入等），演算法測試深入</w:t>
            </w:r>
          </w:p>
        </w:tc>
      </w:tr>
      <w:tr>
        <w:tc>
          <w:tcPr>
            <w:tcW w:type="dxa" w:w="2880"/>
          </w:tcPr>
          <w:p>
            <w:pPr>
              <w:spacing w:line="276" w:lineRule="auto" w:after="0" w:before="0"/>
            </w:pPr>
            <w:r/>
            <w:r>
              <w:rPr>
                <w:rFonts w:ascii="Times New Roman" w:hAnsi="Times New Roman" w:eastAsia="標楷體"/>
                <w:b w:val="0"/>
                <w:sz w:val="22"/>
              </w:rPr>
              <w:t>效益驗證（POB）</w:t>
            </w:r>
          </w:p>
        </w:tc>
        <w:tc>
          <w:tcPr>
            <w:tcW w:type="dxa" w:w="2880"/>
          </w:tcPr>
          <w:p>
            <w:pPr>
              <w:spacing w:line="276" w:lineRule="auto" w:after="0" w:before="0"/>
            </w:pPr>
            <w:r/>
            <w:r>
              <w:rPr>
                <w:rFonts w:ascii="Times New Roman" w:hAnsi="Times New Roman" w:eastAsia="標楷體"/>
                <w:b w:val="0"/>
                <w:sz w:val="22"/>
              </w:rPr>
              <w:t>進行中</w:t>
            </w:r>
          </w:p>
        </w:tc>
        <w:tc>
          <w:tcPr>
            <w:tcW w:type="dxa" w:w="2880"/>
          </w:tcPr>
          <w:p>
            <w:pPr>
              <w:spacing w:line="276" w:lineRule="auto" w:after="0" w:before="0"/>
            </w:pPr>
            <w:r/>
            <w:r>
              <w:rPr>
                <w:rFonts w:ascii="Times New Roman" w:hAnsi="Times New Roman" w:eastAsia="標楷體"/>
                <w:b w:val="0"/>
                <w:sz w:val="22"/>
              </w:rPr>
              <w:t>實際報修與資產資料須俟正式營運累積後驗證</w:t>
            </w:r>
          </w:p>
        </w:tc>
      </w:tr>
    </w:tbl>
    <w:p/>
    <w:p>
      <w:pPr>
        <w:spacing w:line="276" w:lineRule="auto" w:after="120" w:before="0"/>
        <w:jc w:val="left"/>
      </w:pPr>
      <w:r>
        <w:rPr>
          <w:rFonts w:ascii="Times New Roman" w:hAnsi="Times New Roman" w:eastAsia="標楷體"/>
          <w:b/>
          <w:sz w:val="28"/>
        </w:rPr>
        <w:t>（五）截至期中（一一五年八月三十一日）之進度</w:t>
      </w:r>
    </w:p>
    <w:p>
      <w:pPr>
        <w:spacing w:line="276" w:lineRule="auto" w:after="120" w:before="0"/>
        <w:ind w:firstLine="480"/>
        <w:jc w:val="both"/>
      </w:pPr>
      <w:r>
        <w:rPr>
          <w:rFonts w:ascii="Times New Roman" w:hAnsi="Times New Roman" w:eastAsia="標楷體"/>
          <w:b w:val="0"/>
          <w:sz w:val="24"/>
        </w:rPr>
        <w:t>本模組之報修狀態機、固定資產台帳與折舊、服務時效管理及維修決策支援均已完成建置並可操作，演算法具備明確賣點（三案年化成本試算、核價分位比對、汰換規則），且測試扎實、演算法測得深入。實際之維修與資產資料須俟正式營運後累積，其效益驗證屬進行中事項。</w:t>
      </w:r>
    </w:p>
    <w:p>
      <w:pPr>
        <w:spacing w:line="276" w:lineRule="auto" w:after="120" w:before="240"/>
        <w:jc w:val="left"/>
      </w:pPr>
      <w:r>
        <w:rPr>
          <w:rFonts w:ascii="Times New Roman" w:hAnsi="Times New Roman" w:eastAsia="標楷體"/>
          <w:b/>
          <w:color w:val="1F3A5F"/>
          <w:sz w:val="28"/>
        </w:rPr>
        <w:t>拾、整體進度總結</w:t>
      </w:r>
    </w:p>
    <w:p>
      <w:pPr>
        <w:spacing w:line="276" w:lineRule="auto" w:after="120" w:before="0"/>
        <w:jc w:val="left"/>
      </w:pPr>
      <w:r>
        <w:rPr>
          <w:rFonts w:ascii="Times New Roman" w:hAnsi="Times New Roman" w:eastAsia="標楷體"/>
          <w:b/>
          <w:sz w:val="28"/>
        </w:rPr>
        <w:t>一、對應補助案查核點</w:t>
      </w:r>
    </w:p>
    <w:p>
      <w:pPr>
        <w:spacing w:line="276" w:lineRule="auto" w:after="120" w:before="0"/>
        <w:ind w:firstLine="480"/>
        <w:jc w:val="both"/>
      </w:pPr>
      <w:r>
        <w:rPr>
          <w:rFonts w:ascii="Times New Roman" w:hAnsi="Times New Roman" w:eastAsia="標楷體"/>
          <w:b w:val="0"/>
          <w:sz w:val="24"/>
        </w:rPr>
        <w:t>本計畫五大耗材AI模組及維修支援模組之後端運算邏輯與前端操作畫面均已完成建置並可實際操作，並已於一一五年八月二十二日期中關懷會議現場展示。對應補助案各查核點之進度如下：</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查核點</w:t>
            </w:r>
          </w:p>
        </w:tc>
        <w:tc>
          <w:tcPr>
            <w:tcW w:type="dxa" w:w="2880"/>
          </w:tcPr>
          <w:p>
            <w:pPr>
              <w:spacing w:line="276" w:lineRule="auto" w:after="0" w:before="0"/>
            </w:pPr>
            <w:r/>
            <w:r>
              <w:rPr>
                <w:rFonts w:ascii="Times New Roman" w:hAnsi="Times New Roman" w:eastAsia="標楷體"/>
                <w:b/>
                <w:sz w:val="22"/>
              </w:rPr>
              <w:t>項目</w:t>
            </w:r>
          </w:p>
        </w:tc>
        <w:tc>
          <w:tcPr>
            <w:tcW w:type="dxa" w:w="2880"/>
          </w:tcPr>
          <w:p>
            <w:pPr>
              <w:spacing w:line="276" w:lineRule="auto" w:after="0" w:before="0"/>
            </w:pPr>
            <w:r/>
            <w:r>
              <w:rPr>
                <w:rFonts w:ascii="Times New Roman" w:hAnsi="Times New Roman" w:eastAsia="標楷體"/>
                <w:b/>
                <w:sz w:val="22"/>
              </w:rPr>
              <w:t>進度</w:t>
            </w:r>
          </w:p>
        </w:tc>
      </w:tr>
      <w:tr>
        <w:tc>
          <w:tcPr>
            <w:tcW w:type="dxa" w:w="2880"/>
          </w:tcPr>
          <w:p>
            <w:pPr>
              <w:spacing w:line="276" w:lineRule="auto" w:after="0" w:before="0"/>
            </w:pPr>
            <w:r/>
            <w:r>
              <w:rPr>
                <w:rFonts w:ascii="Times New Roman" w:hAnsi="Times New Roman" w:eastAsia="標楷體"/>
                <w:b w:val="0"/>
                <w:sz w:val="22"/>
              </w:rPr>
              <w:t>B1</w:t>
            </w:r>
          </w:p>
        </w:tc>
        <w:tc>
          <w:tcPr>
            <w:tcW w:type="dxa" w:w="2880"/>
          </w:tcPr>
          <w:p>
            <w:pPr>
              <w:spacing w:line="276" w:lineRule="auto" w:after="0" w:before="0"/>
            </w:pPr>
            <w:r/>
            <w:r>
              <w:rPr>
                <w:rFonts w:ascii="Times New Roman" w:hAnsi="Times New Roman" w:eastAsia="標楷體"/>
                <w:b w:val="0"/>
                <w:sz w:val="22"/>
              </w:rPr>
              <w:t>系統開發</w:t>
            </w:r>
          </w:p>
        </w:tc>
        <w:tc>
          <w:tcPr>
            <w:tcW w:type="dxa" w:w="2880"/>
          </w:tcPr>
          <w:p>
            <w:pPr>
              <w:spacing w:line="276" w:lineRule="auto" w:after="0" w:before="0"/>
            </w:pPr>
            <w:r/>
            <w:r>
              <w:rPr>
                <w:rFonts w:ascii="Times New Roman" w:hAnsi="Times New Roman" w:eastAsia="標楷體"/>
                <w:b w:val="0"/>
                <w:sz w:val="22"/>
              </w:rPr>
              <w:t>已完成</w:t>
            </w:r>
          </w:p>
        </w:tc>
      </w:tr>
      <w:tr>
        <w:tc>
          <w:tcPr>
            <w:tcW w:type="dxa" w:w="2880"/>
          </w:tcPr>
          <w:p>
            <w:pPr>
              <w:spacing w:line="276" w:lineRule="auto" w:after="0" w:before="0"/>
            </w:pPr>
            <w:r/>
            <w:r>
              <w:rPr>
                <w:rFonts w:ascii="Times New Roman" w:hAnsi="Times New Roman" w:eastAsia="標楷體"/>
                <w:b w:val="0"/>
                <w:sz w:val="22"/>
              </w:rPr>
              <w:t>B2</w:t>
            </w:r>
          </w:p>
        </w:tc>
        <w:tc>
          <w:tcPr>
            <w:tcW w:type="dxa" w:w="2880"/>
          </w:tcPr>
          <w:p>
            <w:pPr>
              <w:spacing w:line="276" w:lineRule="auto" w:after="0" w:before="0"/>
            </w:pPr>
            <w:r/>
            <w:r>
              <w:rPr>
                <w:rFonts w:ascii="Times New Roman" w:hAnsi="Times New Roman" w:eastAsia="標楷體"/>
                <w:b w:val="0"/>
                <w:sz w:val="22"/>
              </w:rPr>
              <w:t>功能整合測試</w:t>
            </w:r>
          </w:p>
        </w:tc>
        <w:tc>
          <w:tcPr>
            <w:tcW w:type="dxa" w:w="2880"/>
          </w:tcPr>
          <w:p>
            <w:pPr>
              <w:spacing w:line="276" w:lineRule="auto" w:after="0" w:before="0"/>
            </w:pPr>
            <w:r/>
            <w:r>
              <w:rPr>
                <w:rFonts w:ascii="Times New Roman" w:hAnsi="Times New Roman" w:eastAsia="標楷體"/>
                <w:b w:val="0"/>
                <w:sz w:val="22"/>
              </w:rPr>
              <w:t>已完成，並於一一五年八月二十二日期中會議現場展示</w:t>
            </w:r>
          </w:p>
        </w:tc>
      </w:tr>
      <w:tr>
        <w:tc>
          <w:tcPr>
            <w:tcW w:type="dxa" w:w="2880"/>
          </w:tcPr>
          <w:p>
            <w:pPr>
              <w:spacing w:line="276" w:lineRule="auto" w:after="0" w:before="0"/>
            </w:pPr>
            <w:r/>
            <w:r>
              <w:rPr>
                <w:rFonts w:ascii="Times New Roman" w:hAnsi="Times New Roman" w:eastAsia="標楷體"/>
                <w:b w:val="0"/>
                <w:sz w:val="22"/>
              </w:rPr>
              <w:t>C1</w:t>
            </w:r>
          </w:p>
        </w:tc>
        <w:tc>
          <w:tcPr>
            <w:tcW w:type="dxa" w:w="2880"/>
          </w:tcPr>
          <w:p>
            <w:pPr>
              <w:spacing w:line="276" w:lineRule="auto" w:after="0" w:before="0"/>
            </w:pPr>
            <w:r/>
            <w:r>
              <w:rPr>
                <w:rFonts w:ascii="Times New Roman" w:hAnsi="Times New Roman" w:eastAsia="標楷體"/>
                <w:b w:val="0"/>
                <w:sz w:val="22"/>
              </w:rPr>
              <w:t>上線教育訓練</w:t>
            </w:r>
          </w:p>
        </w:tc>
        <w:tc>
          <w:tcPr>
            <w:tcW w:type="dxa" w:w="2880"/>
          </w:tcPr>
          <w:p>
            <w:pPr>
              <w:spacing w:line="276" w:lineRule="auto" w:after="0" w:before="0"/>
            </w:pPr>
            <w:r/>
            <w:r>
              <w:rPr>
                <w:rFonts w:ascii="Times New Roman" w:hAnsi="Times New Roman" w:eastAsia="標楷體"/>
                <w:b w:val="0"/>
                <w:sz w:val="22"/>
              </w:rPr>
              <w:t>一一五年九月進行中</w:t>
            </w:r>
          </w:p>
        </w:tc>
      </w:tr>
      <w:tr>
        <w:tc>
          <w:tcPr>
            <w:tcW w:type="dxa" w:w="2880"/>
          </w:tcPr>
          <w:p>
            <w:pPr>
              <w:spacing w:line="276" w:lineRule="auto" w:after="0" w:before="0"/>
            </w:pPr>
            <w:r/>
            <w:r>
              <w:rPr>
                <w:rFonts w:ascii="Times New Roman" w:hAnsi="Times New Roman" w:eastAsia="標楷體"/>
                <w:b w:val="0"/>
                <w:sz w:val="22"/>
              </w:rPr>
              <w:t>C2</w:t>
            </w:r>
          </w:p>
        </w:tc>
        <w:tc>
          <w:tcPr>
            <w:tcW w:type="dxa" w:w="2880"/>
          </w:tcPr>
          <w:p>
            <w:pPr>
              <w:spacing w:line="276" w:lineRule="auto" w:after="0" w:before="0"/>
            </w:pPr>
            <w:r/>
            <w:r>
              <w:rPr>
                <w:rFonts w:ascii="Times New Roman" w:hAnsi="Times New Roman" w:eastAsia="標楷體"/>
                <w:b w:val="0"/>
                <w:sz w:val="22"/>
              </w:rPr>
              <w:t>試營運成果驗證</w:t>
            </w:r>
          </w:p>
        </w:tc>
        <w:tc>
          <w:tcPr>
            <w:tcW w:type="dxa" w:w="2880"/>
          </w:tcPr>
          <w:p>
            <w:pPr>
              <w:spacing w:line="276" w:lineRule="auto" w:after="0" w:before="0"/>
            </w:pPr>
            <w:r/>
            <w:r>
              <w:rPr>
                <w:rFonts w:ascii="Times New Roman" w:hAnsi="Times New Roman" w:eastAsia="標楷體"/>
                <w:b w:val="0"/>
                <w:sz w:val="22"/>
              </w:rPr>
              <w:t>一一六年一月辦理，須累積三個月以上營運資料</w:t>
            </w:r>
          </w:p>
        </w:tc>
      </w:tr>
    </w:tbl>
    <w:p/>
    <w:p>
      <w:pPr>
        <w:spacing w:line="276" w:lineRule="auto" w:after="120" w:before="0"/>
        <w:jc w:val="left"/>
      </w:pPr>
      <w:r>
        <w:rPr>
          <w:rFonts w:ascii="Times New Roman" w:hAnsi="Times New Roman" w:eastAsia="標楷體"/>
          <w:b/>
          <w:sz w:val="28"/>
        </w:rPr>
        <w:t>二、各模組驗證狀態彙總</w:t>
      </w:r>
    </w:p>
    <w:tbl>
      <w:tblPr>
        <w:tblStyle w:val="aff2"/>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76" w:lineRule="auto" w:after="0" w:before="0"/>
            </w:pPr>
            <w:r/>
            <w:r>
              <w:rPr>
                <w:rFonts w:ascii="Times New Roman" w:hAnsi="Times New Roman" w:eastAsia="標楷體"/>
                <w:b/>
                <w:sz w:val="20"/>
              </w:rPr>
              <w:t>模組</w:t>
            </w:r>
          </w:p>
        </w:tc>
        <w:tc>
          <w:tcPr>
            <w:tcW w:type="dxa" w:w="1440"/>
          </w:tcPr>
          <w:p>
            <w:pPr>
              <w:spacing w:line="276" w:lineRule="auto" w:after="0" w:before="0"/>
            </w:pPr>
            <w:r/>
            <w:r>
              <w:rPr>
                <w:rFonts w:ascii="Times New Roman" w:hAnsi="Times New Roman" w:eastAsia="標楷體"/>
                <w:b/>
                <w:sz w:val="20"/>
              </w:rPr>
              <w:t>POC</w:t>
            </w:r>
          </w:p>
        </w:tc>
        <w:tc>
          <w:tcPr>
            <w:tcW w:type="dxa" w:w="1440"/>
          </w:tcPr>
          <w:p>
            <w:pPr>
              <w:spacing w:line="276" w:lineRule="auto" w:after="0" w:before="0"/>
            </w:pPr>
            <w:r/>
            <w:r>
              <w:rPr>
                <w:rFonts w:ascii="Times New Roman" w:hAnsi="Times New Roman" w:eastAsia="標楷體"/>
                <w:b/>
                <w:sz w:val="20"/>
              </w:rPr>
              <w:t>POS</w:t>
            </w:r>
          </w:p>
        </w:tc>
        <w:tc>
          <w:tcPr>
            <w:tcW w:type="dxa" w:w="1440"/>
          </w:tcPr>
          <w:p>
            <w:pPr>
              <w:spacing w:line="276" w:lineRule="auto" w:after="0" w:before="0"/>
            </w:pPr>
            <w:r/>
            <w:r>
              <w:rPr>
                <w:rFonts w:ascii="Times New Roman" w:hAnsi="Times New Roman" w:eastAsia="標楷體"/>
                <w:b/>
                <w:sz w:val="20"/>
              </w:rPr>
              <w:t>POB</w:t>
            </w:r>
          </w:p>
        </w:tc>
        <w:tc>
          <w:tcPr>
            <w:tcW w:type="dxa" w:w="1440"/>
          </w:tcPr>
          <w:p>
            <w:pPr>
              <w:spacing w:line="276" w:lineRule="auto" w:after="0" w:before="0"/>
            </w:pPr>
            <w:r/>
            <w:r>
              <w:rPr>
                <w:rFonts w:ascii="Times New Roman" w:hAnsi="Times New Roman" w:eastAsia="標楷體"/>
                <w:b/>
                <w:sz w:val="20"/>
              </w:rPr>
              <w:t>成熟度</w:t>
            </w:r>
          </w:p>
        </w:tc>
        <w:tc>
          <w:tcPr>
            <w:tcW w:type="dxa" w:w="1440"/>
          </w:tcPr>
          <w:p>
            <w:pPr>
              <w:spacing w:line="276" w:lineRule="auto" w:after="0" w:before="0"/>
            </w:pPr>
            <w:r/>
            <w:r>
              <w:rPr>
                <w:rFonts w:ascii="Times New Roman" w:hAnsi="Times New Roman" w:eastAsia="標楷體"/>
                <w:b/>
                <w:sz w:val="20"/>
              </w:rPr>
              <w:t>預計完成時程</w:t>
            </w:r>
          </w:p>
        </w:tc>
      </w:tr>
      <w:tr>
        <w:tc>
          <w:tcPr>
            <w:tcW w:type="dxa" w:w="1440"/>
          </w:tcPr>
          <w:p>
            <w:pPr>
              <w:spacing w:line="276" w:lineRule="auto" w:after="0" w:before="0"/>
            </w:pPr>
            <w:r/>
            <w:r>
              <w:rPr>
                <w:rFonts w:ascii="Times New Roman" w:hAnsi="Times New Roman" w:eastAsia="標楷體"/>
                <w:b w:val="0"/>
                <w:sz w:val="20"/>
              </w:rPr>
              <w:t>①AI耗材需求預測</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C2（116/1）驗證準確率</w:t>
            </w:r>
          </w:p>
        </w:tc>
      </w:tr>
      <w:tr>
        <w:tc>
          <w:tcPr>
            <w:tcW w:type="dxa" w:w="1440"/>
          </w:tcPr>
          <w:p>
            <w:pPr>
              <w:spacing w:line="276" w:lineRule="auto" w:after="0" w:before="0"/>
            </w:pPr>
            <w:r/>
            <w:r>
              <w:rPr>
                <w:rFonts w:ascii="Times New Roman" w:hAnsi="Times New Roman" w:eastAsia="標楷體"/>
                <w:b w:val="0"/>
                <w:sz w:val="20"/>
              </w:rPr>
              <w:t>②異常預警</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可導入</w:t>
            </w:r>
          </w:p>
        </w:tc>
        <w:tc>
          <w:tcPr>
            <w:tcW w:type="dxa" w:w="1440"/>
          </w:tcPr>
          <w:p>
            <w:pPr>
              <w:spacing w:line="276" w:lineRule="auto" w:after="0" w:before="0"/>
            </w:pPr>
            <w:r/>
            <w:r>
              <w:rPr>
                <w:rFonts w:ascii="Times New Roman" w:hAnsi="Times New Roman" w:eastAsia="標楷體"/>
                <w:b w:val="0"/>
                <w:sz w:val="20"/>
              </w:rPr>
              <w:t>已完整可導入</w:t>
            </w:r>
          </w:p>
        </w:tc>
        <w:tc>
          <w:tcPr>
            <w:tcW w:type="dxa" w:w="1440"/>
          </w:tcPr>
          <w:p>
            <w:pPr>
              <w:spacing w:line="276" w:lineRule="auto" w:after="0" w:before="0"/>
            </w:pPr>
            <w:r/>
            <w:r>
              <w:rPr>
                <w:rFonts w:ascii="Times New Roman" w:hAnsi="Times New Roman" w:eastAsia="標楷體"/>
                <w:b w:val="0"/>
                <w:sz w:val="20"/>
              </w:rPr>
              <w:t>具備正式導入條件</w:t>
            </w:r>
          </w:p>
        </w:tc>
      </w:tr>
      <w:tr>
        <w:tc>
          <w:tcPr>
            <w:tcW w:type="dxa" w:w="1440"/>
          </w:tcPr>
          <w:p>
            <w:pPr>
              <w:spacing w:line="276" w:lineRule="auto" w:after="0" w:before="0"/>
            </w:pPr>
            <w:r/>
            <w:r>
              <w:rPr>
                <w:rFonts w:ascii="Times New Roman" w:hAnsi="Times New Roman" w:eastAsia="標楷體"/>
                <w:b w:val="0"/>
                <w:sz w:val="20"/>
              </w:rPr>
              <w:t>③AI補貨建議</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C2（116/1）驗證轉換率</w:t>
            </w:r>
          </w:p>
        </w:tc>
      </w:tr>
      <w:tr>
        <w:tc>
          <w:tcPr>
            <w:tcW w:type="dxa" w:w="1440"/>
          </w:tcPr>
          <w:p>
            <w:pPr>
              <w:spacing w:line="276" w:lineRule="auto" w:after="0" w:before="0"/>
            </w:pPr>
            <w:r/>
            <w:r>
              <w:rPr>
                <w:rFonts w:ascii="Times New Roman" w:hAnsi="Times New Roman" w:eastAsia="標楷體"/>
                <w:b w:val="0"/>
                <w:sz w:val="20"/>
              </w:rPr>
              <w:t>④供應鏈協同配送管理</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C2（116/1）驗證使用率</w:t>
            </w:r>
          </w:p>
        </w:tc>
      </w:tr>
      <w:tr>
        <w:tc>
          <w:tcPr>
            <w:tcW w:type="dxa" w:w="1440"/>
          </w:tcPr>
          <w:p>
            <w:pPr>
              <w:spacing w:line="276" w:lineRule="auto" w:after="0" w:before="0"/>
            </w:pPr>
            <w:r/>
            <w:r>
              <w:rPr>
                <w:rFonts w:ascii="Times New Roman" w:hAnsi="Times New Roman" w:eastAsia="標楷體"/>
                <w:b w:val="0"/>
                <w:sz w:val="20"/>
              </w:rPr>
              <w:t>⑤營運管理儀表板</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機制已建置、資料累積中</w:t>
            </w:r>
          </w:p>
        </w:tc>
        <w:tc>
          <w:tcPr>
            <w:tcW w:type="dxa" w:w="1440"/>
          </w:tcPr>
          <w:p>
            <w:pPr>
              <w:spacing w:line="276" w:lineRule="auto" w:after="0" w:before="0"/>
            </w:pPr>
            <w:r/>
            <w:r>
              <w:rPr>
                <w:rFonts w:ascii="Times New Roman" w:hAnsi="Times New Roman" w:eastAsia="標楷體"/>
                <w:b w:val="0"/>
                <w:sz w:val="20"/>
              </w:rPr>
              <w:t>C2（116/1）驗證各項KPI</w:t>
            </w:r>
          </w:p>
        </w:tc>
      </w:tr>
      <w:tr>
        <w:tc>
          <w:tcPr>
            <w:tcW w:type="dxa" w:w="1440"/>
          </w:tcPr>
          <w:p>
            <w:pPr>
              <w:spacing w:line="276" w:lineRule="auto" w:after="0" w:before="0"/>
            </w:pPr>
            <w:r/>
            <w:r>
              <w:rPr>
                <w:rFonts w:ascii="Times New Roman" w:hAnsi="Times New Roman" w:eastAsia="標楷體"/>
                <w:b w:val="0"/>
                <w:sz w:val="20"/>
              </w:rPr>
              <w:t>⑥維修支援</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已通過</w:t>
            </w:r>
          </w:p>
        </w:tc>
        <w:tc>
          <w:tcPr>
            <w:tcW w:type="dxa" w:w="1440"/>
          </w:tcPr>
          <w:p>
            <w:pPr>
              <w:spacing w:line="276" w:lineRule="auto" w:after="0" w:before="0"/>
            </w:pPr>
            <w:r/>
            <w:r>
              <w:rPr>
                <w:rFonts w:ascii="Times New Roman" w:hAnsi="Times New Roman" w:eastAsia="標楷體"/>
                <w:b w:val="0"/>
                <w:sz w:val="20"/>
              </w:rPr>
              <w:t>進行中</w:t>
            </w:r>
          </w:p>
        </w:tc>
        <w:tc>
          <w:tcPr>
            <w:tcW w:type="dxa" w:w="1440"/>
          </w:tcPr>
          <w:p>
            <w:pPr>
              <w:spacing w:line="276" w:lineRule="auto" w:after="0" w:before="0"/>
            </w:pPr>
            <w:r/>
            <w:r>
              <w:rPr>
                <w:rFonts w:ascii="Times New Roman" w:hAnsi="Times New Roman" w:eastAsia="標楷體"/>
                <w:b w:val="0"/>
                <w:sz w:val="20"/>
              </w:rPr>
              <w:t>已完整（系統附屬功能）</w:t>
            </w:r>
          </w:p>
        </w:tc>
        <w:tc>
          <w:tcPr>
            <w:tcW w:type="dxa" w:w="1440"/>
          </w:tcPr>
          <w:p>
            <w:pPr>
              <w:spacing w:line="276" w:lineRule="auto" w:after="0" w:before="0"/>
            </w:pPr>
            <w:r/>
            <w:r>
              <w:rPr>
                <w:rFonts w:ascii="Times New Roman" w:hAnsi="Times New Roman" w:eastAsia="標楷體"/>
                <w:b w:val="0"/>
                <w:sz w:val="20"/>
              </w:rPr>
              <w:t>待維修與資產資料累積</w:t>
            </w:r>
          </w:p>
        </w:tc>
      </w:tr>
    </w:tbl>
    <w:p/>
    <w:p>
      <w:pPr>
        <w:spacing w:line="276" w:lineRule="auto" w:after="120" w:before="0"/>
        <w:jc w:val="left"/>
      </w:pPr>
      <w:r>
        <w:rPr>
          <w:rFonts w:ascii="Times New Roman" w:hAnsi="Times New Roman" w:eastAsia="標楷體"/>
          <w:b/>
          <w:sz w:val="28"/>
        </w:rPr>
        <w:t>三、補助案 C2 最終效益目標</w:t>
      </w:r>
    </w:p>
    <w:p>
      <w:pPr>
        <w:spacing w:line="276" w:lineRule="auto" w:after="120" w:before="0"/>
        <w:ind w:firstLine="480"/>
        <w:jc w:val="both"/>
      </w:pPr>
      <w:r>
        <w:rPr>
          <w:rFonts w:ascii="Times New Roman" w:hAnsi="Times New Roman" w:eastAsia="標楷體"/>
          <w:b w:val="0"/>
          <w:sz w:val="24"/>
        </w:rPr>
        <w:t>下列各項為補助案 C2 試營運階段（一一六年一月）預定驗證之效益目標值。截至期中（一一五年八月三十一日），各模組機制均已建置完成，惟因正式營運資料尚在累積，下列目標值尚未達成，均列為 C2 查核點之驗證目標：</w:t>
      </w:r>
    </w:p>
    <w:tbl>
      <w:tblPr>
        <w:tblStyle w:val="aff2"/>
        <w:tblW w:type="auto" w:w="0"/>
        <w:tblLook w:firstColumn="1" w:firstRow="1" w:lastColumn="0" w:lastRow="0" w:noHBand="0" w:noVBand="1" w:val="04A0"/>
      </w:tblPr>
      <w:tblGrid>
        <w:gridCol w:w="2880"/>
        <w:gridCol w:w="2880"/>
        <w:gridCol w:w="2880"/>
      </w:tblGrid>
      <w:tr>
        <w:tc>
          <w:tcPr>
            <w:tcW w:type="dxa" w:w="2880"/>
          </w:tcPr>
          <w:p>
            <w:pPr>
              <w:spacing w:line="276" w:lineRule="auto" w:after="0" w:before="0"/>
            </w:pPr>
            <w:r/>
            <w:r>
              <w:rPr>
                <w:rFonts w:ascii="Times New Roman" w:hAnsi="Times New Roman" w:eastAsia="標楷體"/>
                <w:b/>
                <w:sz w:val="22"/>
              </w:rPr>
              <w:t>效益指標</w:t>
            </w:r>
          </w:p>
        </w:tc>
        <w:tc>
          <w:tcPr>
            <w:tcW w:type="dxa" w:w="2880"/>
          </w:tcPr>
          <w:p>
            <w:pPr>
              <w:spacing w:line="276" w:lineRule="auto" w:after="0" w:before="0"/>
            </w:pPr>
            <w:r/>
            <w:r>
              <w:rPr>
                <w:rFonts w:ascii="Times New Roman" w:hAnsi="Times New Roman" w:eastAsia="標楷體"/>
                <w:b/>
                <w:sz w:val="22"/>
              </w:rPr>
              <w:t>目標值</w:t>
            </w:r>
          </w:p>
        </w:tc>
        <w:tc>
          <w:tcPr>
            <w:tcW w:type="dxa" w:w="2880"/>
          </w:tcPr>
          <w:p>
            <w:pPr>
              <w:spacing w:line="276" w:lineRule="auto" w:after="0" w:before="0"/>
            </w:pPr>
            <w:r/>
            <w:r>
              <w:rPr>
                <w:rFonts w:ascii="Times New Roman" w:hAnsi="Times New Roman" w:eastAsia="標楷體"/>
                <w:b/>
                <w:sz w:val="22"/>
              </w:rPr>
              <w:t>現況</w:t>
            </w:r>
          </w:p>
        </w:tc>
      </w:tr>
      <w:tr>
        <w:tc>
          <w:tcPr>
            <w:tcW w:type="dxa" w:w="2880"/>
          </w:tcPr>
          <w:p>
            <w:pPr>
              <w:spacing w:line="276" w:lineRule="auto" w:after="0" w:before="0"/>
            </w:pPr>
            <w:r/>
            <w:r>
              <w:rPr>
                <w:rFonts w:ascii="Times New Roman" w:hAnsi="Times New Roman" w:eastAsia="標楷體"/>
                <w:b w:val="0"/>
                <w:sz w:val="22"/>
              </w:rPr>
              <w:t>AI功能預測準確率</w:t>
            </w:r>
          </w:p>
        </w:tc>
        <w:tc>
          <w:tcPr>
            <w:tcW w:type="dxa" w:w="2880"/>
          </w:tcPr>
          <w:p>
            <w:pPr>
              <w:spacing w:line="276" w:lineRule="auto" w:after="0" w:before="0"/>
            </w:pPr>
            <w:r/>
            <w:r>
              <w:rPr>
                <w:rFonts w:ascii="Times New Roman" w:hAnsi="Times New Roman" w:eastAsia="標楷體"/>
                <w:b w:val="0"/>
                <w:sz w:val="22"/>
              </w:rPr>
              <w:t>≧ 70%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庫存持有天數降低</w:t>
            </w:r>
          </w:p>
        </w:tc>
        <w:tc>
          <w:tcPr>
            <w:tcW w:type="dxa" w:w="2880"/>
          </w:tcPr>
          <w:p>
            <w:pPr>
              <w:spacing w:line="276" w:lineRule="auto" w:after="0" w:before="0"/>
            </w:pPr>
            <w:r/>
            <w:r>
              <w:rPr>
                <w:rFonts w:ascii="Times New Roman" w:hAnsi="Times New Roman" w:eastAsia="標楷體"/>
                <w:b w:val="0"/>
                <w:sz w:val="22"/>
              </w:rPr>
              <w:t>≧ 15%</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AI採購建議轉換率</w:t>
            </w:r>
          </w:p>
        </w:tc>
        <w:tc>
          <w:tcPr>
            <w:tcW w:type="dxa" w:w="2880"/>
          </w:tcPr>
          <w:p>
            <w:pPr>
              <w:spacing w:line="276" w:lineRule="auto" w:after="0" w:before="0"/>
            </w:pPr>
            <w:r/>
            <w:r>
              <w:rPr>
                <w:rFonts w:ascii="Times New Roman" w:hAnsi="Times New Roman" w:eastAsia="標楷體"/>
                <w:b w:val="0"/>
                <w:sz w:val="22"/>
              </w:rPr>
              <w:t>≧ 80%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協作功能使用率</w:t>
            </w:r>
          </w:p>
        </w:tc>
        <w:tc>
          <w:tcPr>
            <w:tcW w:type="dxa" w:w="2880"/>
          </w:tcPr>
          <w:p>
            <w:pPr>
              <w:spacing w:line="276" w:lineRule="auto" w:after="0" w:before="0"/>
            </w:pPr>
            <w:r/>
            <w:r>
              <w:rPr>
                <w:rFonts w:ascii="Times New Roman" w:hAnsi="Times New Roman" w:eastAsia="標楷體"/>
                <w:b w:val="0"/>
                <w:sz w:val="22"/>
              </w:rPr>
              <w:t>≧ 80%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r>
        <w:tc>
          <w:tcPr>
            <w:tcW w:type="dxa" w:w="2880"/>
          </w:tcPr>
          <w:p>
            <w:pPr>
              <w:spacing w:line="276" w:lineRule="auto" w:after="0" w:before="0"/>
            </w:pPr>
            <w:r/>
            <w:r>
              <w:rPr>
                <w:rFonts w:ascii="Times New Roman" w:hAnsi="Times New Roman" w:eastAsia="標楷體"/>
                <w:b w:val="0"/>
                <w:sz w:val="22"/>
              </w:rPr>
              <w:t>人工作業時間降低</w:t>
            </w:r>
          </w:p>
        </w:tc>
        <w:tc>
          <w:tcPr>
            <w:tcW w:type="dxa" w:w="2880"/>
          </w:tcPr>
          <w:p>
            <w:pPr>
              <w:spacing w:line="276" w:lineRule="auto" w:after="0" w:before="0"/>
            </w:pPr>
            <w:r/>
            <w:r>
              <w:rPr>
                <w:rFonts w:ascii="Times New Roman" w:hAnsi="Times New Roman" w:eastAsia="標楷體"/>
                <w:b w:val="0"/>
                <w:sz w:val="22"/>
              </w:rPr>
              <w:t>≧ 50%</w:t>
            </w:r>
          </w:p>
        </w:tc>
        <w:tc>
          <w:tcPr>
            <w:tcW w:type="dxa" w:w="2880"/>
          </w:tcPr>
          <w:p>
            <w:pPr>
              <w:spacing w:line="276" w:lineRule="auto" w:after="0" w:before="0"/>
            </w:pPr>
            <w:r/>
            <w:r>
              <w:rPr>
                <w:rFonts w:ascii="Times New Roman" w:hAnsi="Times New Roman" w:eastAsia="標楷體"/>
                <w:b w:val="0"/>
                <w:sz w:val="22"/>
              </w:rPr>
              <w:t>目標值，待資料累積後於 C2 驗證</w:t>
            </w:r>
          </w:p>
        </w:tc>
      </w:tr>
    </w:tbl>
    <w:p/>
    <w:p>
      <w:pPr>
        <w:spacing w:line="276" w:lineRule="auto" w:after="120" w:before="0"/>
        <w:jc w:val="left"/>
      </w:pPr>
      <w:r>
        <w:rPr>
          <w:rFonts w:ascii="Times New Roman" w:hAnsi="Times New Roman" w:eastAsia="標楷體"/>
          <w:b/>
          <w:sz w:val="28"/>
        </w:rPr>
        <w:t>四、期中進度結語</w:t>
      </w:r>
    </w:p>
    <w:p>
      <w:pPr>
        <w:spacing w:line="276" w:lineRule="auto" w:after="120" w:before="0"/>
        <w:ind w:firstLine="480"/>
        <w:jc w:val="both"/>
      </w:pPr>
      <w:r>
        <w:rPr>
          <w:rFonts w:ascii="Times New Roman" w:hAnsi="Times New Roman" w:eastAsia="標楷體"/>
          <w:b w:val="0"/>
          <w:sz w:val="24"/>
        </w:rPr>
        <w:t>綜上，本計畫五大耗材AI模組（另含維修支援附屬模組）之開發與功能整合測試（對應 B1、B2 查核點）均已完成，並於一一五年八月二十二日期中關懷會議現場完整展示；其中異常預警模組已達可正式導入之成熟度，維修支援模組亦已建置完整。各模組之概念驗證與方案驗證多數已通過，效益驗證則因須以真實營運資料為據，除異常預警外多屬進行中，將隨教育訓練（C1，一一五年九月進行中）與試營運（C2，一一六年一月）之推展逐步完成。本平台後續將持續協助各場域落實領用扣帳與資料累積，俾於試營運階段完成各項效益指標之驗證。</w:t>
      </w:r>
    </w:p>
    <w:sectPr w:rsidR="00DD3E11" w:rsidRPr="0042371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F875A" w14:textId="77777777" w:rsidR="00CB6AC1" w:rsidRDefault="00CB6AC1" w:rsidP="009A6CD6">
      <w:pPr>
        <w:spacing w:after="0" w:line="240" w:lineRule="auto"/>
      </w:pPr>
      <w:r>
        <w:separator/>
      </w:r>
    </w:p>
  </w:endnote>
  <w:endnote w:type="continuationSeparator" w:id="0">
    <w:p w14:paraId="073D4CEE" w14:textId="77777777" w:rsidR="00CB6AC1" w:rsidRDefault="00CB6AC1" w:rsidP="009A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F634" w14:textId="77777777" w:rsidR="00CB6AC1" w:rsidRDefault="00CB6AC1" w:rsidP="009A6CD6">
      <w:pPr>
        <w:spacing w:after="0" w:line="240" w:lineRule="auto"/>
      </w:pPr>
      <w:r>
        <w:separator/>
      </w:r>
    </w:p>
  </w:footnote>
  <w:footnote w:type="continuationSeparator" w:id="0">
    <w:p w14:paraId="4E97E382" w14:textId="77777777" w:rsidR="00CB6AC1" w:rsidRDefault="00CB6AC1" w:rsidP="009A6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6299444">
    <w:abstractNumId w:val="8"/>
  </w:num>
  <w:num w:numId="2" w16cid:durableId="2089376220">
    <w:abstractNumId w:val="6"/>
  </w:num>
  <w:num w:numId="3" w16cid:durableId="704329705">
    <w:abstractNumId w:val="5"/>
  </w:num>
  <w:num w:numId="4" w16cid:durableId="1395078017">
    <w:abstractNumId w:val="4"/>
  </w:num>
  <w:num w:numId="5" w16cid:durableId="835803493">
    <w:abstractNumId w:val="7"/>
  </w:num>
  <w:num w:numId="6" w16cid:durableId="1944878254">
    <w:abstractNumId w:val="3"/>
  </w:num>
  <w:num w:numId="7" w16cid:durableId="1333339106">
    <w:abstractNumId w:val="2"/>
  </w:num>
  <w:num w:numId="8" w16cid:durableId="460612233">
    <w:abstractNumId w:val="1"/>
  </w:num>
  <w:num w:numId="9" w16cid:durableId="120248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A1"/>
    <w:rsid w:val="0006063C"/>
    <w:rsid w:val="0015074B"/>
    <w:rsid w:val="002877D7"/>
    <w:rsid w:val="0029639D"/>
    <w:rsid w:val="00326F90"/>
    <w:rsid w:val="00423710"/>
    <w:rsid w:val="0071460B"/>
    <w:rsid w:val="009A6CD6"/>
    <w:rsid w:val="00AA1D8D"/>
    <w:rsid w:val="00AC2411"/>
    <w:rsid w:val="00B47730"/>
    <w:rsid w:val="00CB0664"/>
    <w:rsid w:val="00CB6AC1"/>
    <w:rsid w:val="00DD3E11"/>
    <w:rsid w:val="00F070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7D5553"/>
  <w14:defaultImageDpi w14:val="300"/>
  <w15:docId w15:val="{B232A329-E716-42BD-99FE-2F9D20E1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Words>
  <Characters>112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Rayba Chuang</cp:lastModifiedBy>
  <cp:revision>3</cp:revision>
  <dcterms:created xsi:type="dcterms:W3CDTF">2026-08-25T02:46:00Z</dcterms:created>
  <dcterms:modified xsi:type="dcterms:W3CDTF">2026-08-25T02:47:00Z</dcterms:modified>
  <cp:category/>
</cp:coreProperties>
</file>