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2B" w:rsidRDefault="00D71CEF" w:rsidP="003556B1">
      <w:pPr>
        <w:jc w:val="both"/>
      </w:pPr>
      <w:r>
        <w:t xml:space="preserve">Tematyka zarządzania projektem metodą Łańcucha Krytycznego (Critical Chain Project Management – CCPM) nieprzypadkowo została w naszym kursie umieszczona pomiędzy modułami poświęconymi EVM oraz </w:t>
      </w:r>
      <w:proofErr w:type="spellStart"/>
      <w:r>
        <w:t>Scrum</w:t>
      </w:r>
      <w:proofErr w:type="spellEnd"/>
      <w:r>
        <w:t xml:space="preserve">. Przemawia za tym kilka powodów. Mianowicie, CCPM jest rozwiązaniem, które łączy w sobie składniki „algorytmiczne” (tj. rozwiązania dotyczące metod planowania, kalkulowania, harmonogramowania, raportowania itp.) oraz „behawioralne” (filozofia postępowania, styl współpracy). </w:t>
      </w:r>
    </w:p>
    <w:p w:rsidR="00FB1EB2" w:rsidRDefault="00D71CEF" w:rsidP="003556B1">
      <w:pPr>
        <w:jc w:val="both"/>
      </w:pPr>
      <w:r>
        <w:t xml:space="preserve">Bardziej fundamentalna i kluczowa dla sukcesu zastosowania metody jest </w:t>
      </w:r>
      <w:r w:rsidR="00936F2B">
        <w:t>naturalnie ta druga sfera. Na tym tle CCPM plasuje się gdzieś pomiędzy mocniej sformalizowanymi metodykami opartymi na procesach oraz indywidualnym rozliczaniu wykonawców a zakładającymi wyższą elastyczność oraz zespołowy styl działania podejściami zwinnymi. Szerzej aspektom behawioralnym oraz zagadnieniom czynnika ludzkiego w CCPM przyjrzymy się w kolejnym wykładzie.</w:t>
      </w:r>
    </w:p>
    <w:p w:rsidR="00936F2B" w:rsidRDefault="00936F2B" w:rsidP="003556B1">
      <w:pPr>
        <w:spacing w:before="240"/>
        <w:jc w:val="both"/>
      </w:pPr>
      <w:r>
        <w:t xml:space="preserve">Z punktu widzenia ćwiczeń, powinniśmy przede wszystkim zapoznać się z CCPM w jej warstwie „algorytmicznej”. Tutaj punktem wyjścia dla nas są obserwacje poczynione w EVM. Otóż, o ile wskaźniki </w:t>
      </w:r>
      <w:r w:rsidR="005218E5">
        <w:t xml:space="preserve">oparte na </w:t>
      </w:r>
      <w:r>
        <w:t xml:space="preserve">wartości wypracowanej istotnie pozwalały wykrywać opóźnienia w realizacji projektu, to stwierdziliśmy, że </w:t>
      </w:r>
      <w:r w:rsidR="005218E5">
        <w:t xml:space="preserve">nie zapewniają one wiarygodnej prognozy dotyczącej terminu ukończenia projektu. Problemem było to, że choć mogliśmy wyrazić w wartościach pieniężnych czy nawet czasowych rozmiar powstałego opóźnienia, to liczby te nie mówiły niczego o strukturze harmonogramu, a więc o łatwości czy trudności nadrobienia opóźnień. Jednym z tradycyjnych narzędzi, za </w:t>
      </w:r>
      <w:proofErr w:type="gramStart"/>
      <w:r w:rsidR="005218E5">
        <w:t>pomocą którego</w:t>
      </w:r>
      <w:proofErr w:type="gramEnd"/>
      <w:r w:rsidR="005218E5">
        <w:t xml:space="preserve"> możemy przezwyciężyć tę słabość jest analiza ścieżki krytycznej. Na tym etapie, z ćwiczeń z budowania i aktualizowania harmonogramu powinniśmy znać już pojęcia ścieżki krytycznej, zapasu swobodnego </w:t>
      </w:r>
      <w:r w:rsidR="005218E5">
        <w:t>zadania</w:t>
      </w:r>
      <w:r w:rsidR="005218E5">
        <w:t xml:space="preserve"> (</w:t>
      </w:r>
      <w:proofErr w:type="spellStart"/>
      <w:r w:rsidR="005218E5">
        <w:rPr>
          <w:i/>
        </w:rPr>
        <w:t>free</w:t>
      </w:r>
      <w:proofErr w:type="spellEnd"/>
      <w:r w:rsidR="005218E5">
        <w:rPr>
          <w:i/>
        </w:rPr>
        <w:t xml:space="preserve"> </w:t>
      </w:r>
      <w:proofErr w:type="spellStart"/>
      <w:r w:rsidR="005218E5">
        <w:rPr>
          <w:i/>
        </w:rPr>
        <w:t>slack</w:t>
      </w:r>
      <w:proofErr w:type="spellEnd"/>
      <w:r w:rsidR="005218E5">
        <w:t xml:space="preserve">) oraz zapasu całkowitego </w:t>
      </w:r>
      <w:r w:rsidR="005218E5">
        <w:t>zadania</w:t>
      </w:r>
      <w:r w:rsidR="005218E5">
        <w:t xml:space="preserve"> (</w:t>
      </w:r>
      <w:proofErr w:type="spellStart"/>
      <w:r w:rsidR="005218E5" w:rsidRPr="005218E5">
        <w:rPr>
          <w:i/>
        </w:rPr>
        <w:t>total</w:t>
      </w:r>
      <w:proofErr w:type="spellEnd"/>
      <w:r w:rsidR="005218E5" w:rsidRPr="005218E5">
        <w:rPr>
          <w:i/>
        </w:rPr>
        <w:t xml:space="preserve"> </w:t>
      </w:r>
      <w:proofErr w:type="spellStart"/>
      <w:r w:rsidR="005218E5" w:rsidRPr="005218E5">
        <w:rPr>
          <w:i/>
        </w:rPr>
        <w:t>slack</w:t>
      </w:r>
      <w:proofErr w:type="spellEnd"/>
      <w:r w:rsidR="005218E5">
        <w:t xml:space="preserve">). W tym miejscu warto wyjaśnić, że pojęcie łańcucha krytycznego różni się od pojęcia ścieżki krytycznej tym, że obok zależności </w:t>
      </w:r>
      <w:proofErr w:type="spellStart"/>
      <w:r w:rsidR="005218E5">
        <w:t>mertytorycznych</w:t>
      </w:r>
      <w:proofErr w:type="spellEnd"/>
      <w:r w:rsidR="005218E5">
        <w:t>/technologicznych warunkujących kolejność realizacji zadań bierze też pod uwagę kwestię dostępności zasobów. Zatem, ilekroć w narzędziu do harmonogramowania uwzględniamy ilość dostępnych zasobów i dokonujemy wyrównywania zasobów (</w:t>
      </w:r>
      <w:proofErr w:type="spellStart"/>
      <w:r w:rsidR="005218E5">
        <w:rPr>
          <w:i/>
        </w:rPr>
        <w:t>resource</w:t>
      </w:r>
      <w:proofErr w:type="spellEnd"/>
      <w:r w:rsidR="005218E5">
        <w:t xml:space="preserve"> </w:t>
      </w:r>
      <w:proofErr w:type="spellStart"/>
      <w:r w:rsidR="005218E5">
        <w:rPr>
          <w:i/>
        </w:rPr>
        <w:t>leveling</w:t>
      </w:r>
      <w:proofErr w:type="spellEnd"/>
      <w:r w:rsidR="005218E5">
        <w:t xml:space="preserve">), </w:t>
      </w:r>
      <w:r w:rsidR="007547F7">
        <w:t>ustalamy niejako łańcuch krytyczny naszego projektu. To spostrzeżenie domyka, nazwijmy to, harmonogramowo-konwencjonalną część podejścia CCPM.</w:t>
      </w:r>
    </w:p>
    <w:p w:rsidR="007547F7" w:rsidRDefault="007547F7" w:rsidP="003556B1">
      <w:pPr>
        <w:spacing w:before="240"/>
        <w:jc w:val="both"/>
      </w:pPr>
      <w:r>
        <w:t xml:space="preserve">Pozostałe elementy algorytmiczne CCPM są już unikalnym wkładem tego podejścia, bo definiują specyficzny dlań sposób budowania i wykorzystania rezerw oraz określania kondycji trwającego projektu. </w:t>
      </w:r>
    </w:p>
    <w:p w:rsidR="007547F7" w:rsidRDefault="007547F7" w:rsidP="003556B1">
      <w:pPr>
        <w:spacing w:before="240"/>
        <w:jc w:val="both"/>
      </w:pPr>
      <w:r>
        <w:t xml:space="preserve">Wiemy, że każde opóźnienie w harmonogramie projektu stanowi potencjalnie trudny do skompensowania problem, toteż nie jest zaskoczeniem, że wielu kierowników dąży do takiego zaplanowania oraz egzekwowania realizacji prac, by każde z zadań zostało zrealizowane o czasie. Tymczasem jednak terminowa realizacja pojedynczych zadań nie przynosi korzyści organizacji realizującej projekt. Korzyść taką stanowi jedynie ukończenie całości projektu o czasie. Bazując na tym spostrzeżeniu (poszukiwanie globalnego optimum, a nie lokalnych optimów) CCPM proponuje, by rezerwy na nieprzewidywalność oraz na zdarzenia losowe zawarte dotychczas implicite w oszacowaniu każdego z zadań z osobna, „wyciągnąć przed nawias” i uczynić z nich scentralizowany bufor. Tym samym </w:t>
      </w:r>
      <w:r w:rsidR="000505B9">
        <w:t>nominalne czasy realizacji przypisane zadaniom w harmonogramie stają się krótsze, i chociaż wiele z nich zostanie w trakcie realizacji przekroczonych, zużywając tym samym bufor projektu, to i tak całość przedsięwzięcia okazuje się krótsza niż w przypadku tradycyjnego harmonogramowania. Często pojawiającą się w literaturze formułą jest tutaj:</w:t>
      </w:r>
    </w:p>
    <w:p w:rsidR="000505B9" w:rsidRDefault="000505B9" w:rsidP="000505B9">
      <w:pPr>
        <w:pStyle w:val="ListParagraph"/>
        <w:numPr>
          <w:ilvl w:val="0"/>
          <w:numId w:val="1"/>
        </w:numPr>
        <w:spacing w:before="240"/>
      </w:pPr>
      <w:r>
        <w:lastRenderedPageBreak/>
        <w:t>Skrócić tradycyjnie oszacowane „bezpieczne” czasy trwania zadań o połowę (harmonogram skraca się do 50% pierwotnego).</w:t>
      </w:r>
    </w:p>
    <w:p w:rsidR="000505B9" w:rsidRDefault="000505B9" w:rsidP="000505B9">
      <w:pPr>
        <w:pStyle w:val="ListParagraph"/>
        <w:numPr>
          <w:ilvl w:val="0"/>
          <w:numId w:val="1"/>
        </w:numPr>
        <w:spacing w:before="240"/>
      </w:pPr>
      <w:r>
        <w:t>Dołączyć do harmonogramu bufor projektu w wysokości 50% zabranych rezerw (a więc ostatecznie harmonogram, wraz z przeznaczonym do zużycia buforem, będzie stanowił 75% pierwotnego).</w:t>
      </w:r>
    </w:p>
    <w:p w:rsidR="000505B9" w:rsidRDefault="000505B9" w:rsidP="003556B1">
      <w:pPr>
        <w:jc w:val="both"/>
      </w:pPr>
      <w:r>
        <w:t>Naturalnie, dedykowane CCPM narzędzia pozwalają na bardziej precyzyjne odzwierciedlenie specyfiki poszczególnych zadań i ich probabilistyki, toteż zetkniemy się z możliwością wpisania dla każdego z zadań dwóch czasów trwania: agresywnego (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) i bezpiecznego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).</w:t>
      </w:r>
    </w:p>
    <w:p w:rsidR="000505B9" w:rsidRDefault="000505B9" w:rsidP="003556B1">
      <w:pPr>
        <w:jc w:val="both"/>
      </w:pPr>
      <w:r>
        <w:t xml:space="preserve">W rozpatrywanym w naszym ćwiczeniu prostym scenariuszu pojedynczego projektu musimy zaznajomić się z dwoma typami buforów: bufor projektu (zwany także buforem ukończenia –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 oraz bufory dopływu (</w:t>
      </w:r>
      <w:proofErr w:type="spellStart"/>
      <w:r>
        <w:t>feeding</w:t>
      </w:r>
      <w:proofErr w:type="spellEnd"/>
      <w:r>
        <w:t xml:space="preserve"> </w:t>
      </w:r>
      <w:proofErr w:type="spellStart"/>
      <w:r>
        <w:t>buffer</w:t>
      </w:r>
      <w:proofErr w:type="spellEnd"/>
      <w:r>
        <w:t>). Te ostatnie dotyczą niekrytycznych fragmentów harmonogramu, stanowiących „dopływy” do łańcucha krytycznego.</w:t>
      </w:r>
      <w:r w:rsidR="00C5263C">
        <w:t xml:space="preserve"> Dla tego typu „dopływów” należy dopilnować, aby:</w:t>
      </w:r>
    </w:p>
    <w:p w:rsidR="00C5263C" w:rsidRDefault="00C5263C" w:rsidP="00C5263C">
      <w:pPr>
        <w:pStyle w:val="ListParagraph"/>
        <w:numPr>
          <w:ilvl w:val="0"/>
          <w:numId w:val="2"/>
        </w:numPr>
      </w:pPr>
      <w:r>
        <w:t>Zaczynały się na tyle wcześnie, by uniknąć sytuacji, w której to łańcuch krytyczny czeka na ukończenie dopływu.</w:t>
      </w:r>
    </w:p>
    <w:p w:rsidR="00C5263C" w:rsidRDefault="00C5263C" w:rsidP="00C5263C">
      <w:pPr>
        <w:pStyle w:val="ListParagraph"/>
        <w:numPr>
          <w:ilvl w:val="0"/>
          <w:numId w:val="2"/>
        </w:numPr>
      </w:pPr>
      <w:r>
        <w:t>Zaczynały się na tyle późno, aby nadmiernie wcześnie nie ponosić kosztów.</w:t>
      </w:r>
    </w:p>
    <w:p w:rsidR="00C5263C" w:rsidRDefault="00C5263C" w:rsidP="003556B1">
      <w:pPr>
        <w:jc w:val="both"/>
      </w:pPr>
      <w:r>
        <w:t>Rozstrzygnięciu ww. kwestii służy właśnie algorytm kalkulacji długości bufora dopływu. Zauważmy, że o łańcuchu niekrytycznym zakończonym chroniącym jego terminowość buforem dopływu możemy myśleć jak o mini-projekcie posiadającym własny bufor.</w:t>
      </w:r>
    </w:p>
    <w:p w:rsidR="00C5263C" w:rsidRDefault="00C5263C" w:rsidP="003556B1">
      <w:pPr>
        <w:jc w:val="both"/>
      </w:pPr>
      <w:r>
        <w:t>Poniższy rysunek ilustruje ideę konwersji harmonogramu „bezpiecznego” na harmonogram CCPM. Zwróćmy uwagę na skrócenie całości nawet po wkalkulowaniu bufora projektu.</w:t>
      </w:r>
    </w:p>
    <w:p w:rsidR="00C5263C" w:rsidRDefault="00C5263C" w:rsidP="00C5263C">
      <w:pPr>
        <w:pStyle w:val="ListParagraph"/>
        <w:numPr>
          <w:ilvl w:val="0"/>
          <w:numId w:val="3"/>
        </w:numPr>
      </w:pPr>
      <w:r>
        <w:t>Stan przed konwersją. Łańcuch krytyczny złożony z 3 zadań oraz jego dopływ złożony 2 zadań, posiadający zapas.</w:t>
      </w:r>
    </w:p>
    <w:p w:rsidR="000505B9" w:rsidRDefault="000505B9" w:rsidP="003556B1">
      <w:pPr>
        <w:spacing w:before="240"/>
        <w:jc w:val="both"/>
      </w:pPr>
      <w:r w:rsidRPr="000505B9">
        <w:drawing>
          <wp:inline distT="0" distB="0" distL="0" distR="0" wp14:anchorId="43719C49" wp14:editId="788572E9">
            <wp:extent cx="5724000" cy="162720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16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B9" w:rsidRDefault="00C5263C" w:rsidP="00C5263C">
      <w:pPr>
        <w:pStyle w:val="ListParagraph"/>
        <w:numPr>
          <w:ilvl w:val="0"/>
          <w:numId w:val="3"/>
        </w:numPr>
        <w:spacing w:before="240"/>
      </w:pPr>
      <w:r>
        <w:t>Stan po konwersji: obok skrócenia czasów zadań wprowadzono bufor projektu oraz bufor dopływu.</w:t>
      </w:r>
    </w:p>
    <w:p w:rsidR="000505B9" w:rsidRDefault="000505B9" w:rsidP="003556B1">
      <w:pPr>
        <w:spacing w:before="240"/>
        <w:jc w:val="both"/>
      </w:pPr>
      <w:r w:rsidRPr="000505B9">
        <w:lastRenderedPageBreak/>
        <w:drawing>
          <wp:inline distT="0" distB="0" distL="0" distR="0" wp14:anchorId="6D8D743A" wp14:editId="66B0B640">
            <wp:extent cx="4831200" cy="1576800"/>
            <wp:effectExtent l="0" t="0" r="7620" b="444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15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3C" w:rsidRPr="003556B1" w:rsidRDefault="00C5263C" w:rsidP="003556B1">
      <w:pPr>
        <w:spacing w:before="240"/>
        <w:jc w:val="both"/>
        <w:rPr>
          <w:u w:val="single"/>
        </w:rPr>
      </w:pPr>
      <w:r w:rsidRPr="003556B1">
        <w:rPr>
          <w:u w:val="single"/>
        </w:rPr>
        <w:t xml:space="preserve">Uwagi dotyczące narzędzia </w:t>
      </w:r>
      <w:proofErr w:type="spellStart"/>
      <w:r w:rsidRPr="003556B1">
        <w:rPr>
          <w:u w:val="single"/>
        </w:rPr>
        <w:t>ProChain</w:t>
      </w:r>
      <w:proofErr w:type="spellEnd"/>
      <w:r w:rsidRPr="003556B1">
        <w:rPr>
          <w:u w:val="single"/>
        </w:rPr>
        <w:t>:</w:t>
      </w:r>
    </w:p>
    <w:p w:rsidR="00C5263C" w:rsidRDefault="00C5263C" w:rsidP="00C5263C">
      <w:pPr>
        <w:pStyle w:val="ListParagraph"/>
        <w:numPr>
          <w:ilvl w:val="0"/>
          <w:numId w:val="4"/>
        </w:numPr>
        <w:spacing w:before="240"/>
      </w:pPr>
      <w:r>
        <w:t xml:space="preserve">Po przełączeniu na widoki specyficzne dla </w:t>
      </w:r>
      <w:proofErr w:type="spellStart"/>
      <w:r>
        <w:t>ProChain</w:t>
      </w:r>
      <w:proofErr w:type="spellEnd"/>
      <w:r>
        <w:t xml:space="preserve">, domyślna kolumna zawierająca czas realizacji zadań zostanie </w:t>
      </w:r>
      <w:proofErr w:type="gramStart"/>
      <w:r>
        <w:t>potraktowana jako</w:t>
      </w:r>
      <w:proofErr w:type="gramEnd"/>
      <w:r>
        <w:t xml:space="preserve"> oszacowanie „agresywne” (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). Stąd też, jeśli startujemy od harmonogramu skalkulowanego tradycyjnie, wartości te będziemy skracać, zaś pierwotnie wielkości umieszczać w osobnej, specyficznej dla </w:t>
      </w:r>
      <w:proofErr w:type="spellStart"/>
      <w:r>
        <w:t>ProChain</w:t>
      </w:r>
      <w:proofErr w:type="spellEnd"/>
      <w:r>
        <w:t xml:space="preserve"> kolumnie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). Jeśli tej drugiej nie wypełnimy pozostawiając w niej zero program nie zgłosi błędu, tylko zinterpretuje </w:t>
      </w:r>
      <w:proofErr w:type="gramStart"/>
      <w:r>
        <w:t>to jako</w:t>
      </w:r>
      <w:proofErr w:type="gramEnd"/>
      <w:r>
        <w:t xml:space="preserve"> wolę przyjęcia wartości domyślnej, która jest następująca: </w:t>
      </w:r>
      <w:proofErr w:type="spellStart"/>
      <w:r>
        <w:t>Low-risk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=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x 2</w:t>
      </w:r>
    </w:p>
    <w:p w:rsidR="00C5263C" w:rsidRDefault="00C5263C" w:rsidP="00C5263C">
      <w:pPr>
        <w:pStyle w:val="ListParagraph"/>
        <w:numPr>
          <w:ilvl w:val="0"/>
          <w:numId w:val="4"/>
        </w:numPr>
        <w:spacing w:before="240"/>
      </w:pPr>
      <w:r>
        <w:t xml:space="preserve">W domyślnym trybie działania </w:t>
      </w:r>
      <w:proofErr w:type="spellStart"/>
      <w:r>
        <w:t>ProChain</w:t>
      </w:r>
      <w:proofErr w:type="spellEnd"/>
      <w:r>
        <w:t xml:space="preserve"> w obecnej wersji nie zobaczymy jawnych buforów dopływów (</w:t>
      </w:r>
      <w:r w:rsidR="003556B1">
        <w:t>zastąpiono je pojęciem „</w:t>
      </w:r>
      <w:proofErr w:type="spellStart"/>
      <w:r w:rsidR="003556B1">
        <w:t>integration</w:t>
      </w:r>
      <w:proofErr w:type="spellEnd"/>
      <w:r w:rsidR="003556B1">
        <w:t xml:space="preserve"> </w:t>
      </w:r>
      <w:proofErr w:type="spellStart"/>
      <w:r w:rsidR="003556B1">
        <w:t>risk</w:t>
      </w:r>
      <w:proofErr w:type="spellEnd"/>
      <w:r w:rsidR="003556B1">
        <w:t xml:space="preserve">”). Jest to może mniej intuicyjne, ale racjonalne, ponieważ nie zawsze łańcuch niekrytyczny ma dostatecznie dużo </w:t>
      </w:r>
      <w:proofErr w:type="gramStart"/>
      <w:r w:rsidR="003556B1">
        <w:t>luzu aby</w:t>
      </w:r>
      <w:proofErr w:type="gramEnd"/>
      <w:r w:rsidR="003556B1">
        <w:t xml:space="preserve"> zaalokować w nim niezbędnej długości bufor dopływu. W takiej sytuacji dodatkowa rezerwa trafia do bufora projektu.</w:t>
      </w:r>
    </w:p>
    <w:p w:rsidR="00C5263C" w:rsidRPr="005218E5" w:rsidRDefault="00C5263C" w:rsidP="003556B1">
      <w:pPr>
        <w:spacing w:before="240"/>
        <w:jc w:val="both"/>
      </w:pPr>
      <w:r w:rsidRPr="003556B1">
        <w:rPr>
          <w:u w:val="single"/>
        </w:rPr>
        <w:t>Dalsze informacje (dla zainteresowanych)</w:t>
      </w:r>
      <w:r>
        <w:t xml:space="preserve"> – zob. np. dostępny w tym samym katalogu materiał: </w:t>
      </w:r>
      <w:r w:rsidRPr="00C5263C">
        <w:rPr>
          <w:highlight w:val="lightGray"/>
        </w:rPr>
        <w:t xml:space="preserve">Critical Chain </w:t>
      </w:r>
      <w:proofErr w:type="spellStart"/>
      <w:r w:rsidRPr="00C5263C">
        <w:rPr>
          <w:highlight w:val="lightGray"/>
        </w:rPr>
        <w:t>Scheduling</w:t>
      </w:r>
      <w:proofErr w:type="spellEnd"/>
      <w:r w:rsidRPr="00C5263C">
        <w:rPr>
          <w:highlight w:val="lightGray"/>
        </w:rPr>
        <w:t xml:space="preserve"> and </w:t>
      </w:r>
      <w:proofErr w:type="spellStart"/>
      <w:r w:rsidRPr="00C5263C">
        <w:rPr>
          <w:highlight w:val="lightGray"/>
        </w:rPr>
        <w:t>Buffer</w:t>
      </w:r>
      <w:proofErr w:type="spellEnd"/>
      <w:r w:rsidRPr="00C5263C">
        <w:rPr>
          <w:highlight w:val="lightGray"/>
        </w:rPr>
        <w:t xml:space="preserve"> Management.</w:t>
      </w:r>
      <w:proofErr w:type="gramStart"/>
      <w:r w:rsidRPr="00C5263C">
        <w:rPr>
          <w:highlight w:val="lightGray"/>
        </w:rPr>
        <w:t>p</w:t>
      </w:r>
      <w:bookmarkStart w:id="0" w:name="_GoBack"/>
      <w:bookmarkEnd w:id="0"/>
      <w:r w:rsidRPr="00C5263C">
        <w:rPr>
          <w:highlight w:val="lightGray"/>
        </w:rPr>
        <w:t>df</w:t>
      </w:r>
      <w:proofErr w:type="gramEnd"/>
    </w:p>
    <w:sectPr w:rsidR="00C5263C" w:rsidRPr="00521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25D86"/>
    <w:multiLevelType w:val="hybridMultilevel"/>
    <w:tmpl w:val="6CA8D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091959"/>
    <w:multiLevelType w:val="hybridMultilevel"/>
    <w:tmpl w:val="606A30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21EBE"/>
    <w:multiLevelType w:val="hybridMultilevel"/>
    <w:tmpl w:val="4C46745A"/>
    <w:lvl w:ilvl="0" w:tplc="92449F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308F1"/>
    <w:multiLevelType w:val="hybridMultilevel"/>
    <w:tmpl w:val="89702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47"/>
    <w:rsid w:val="00037447"/>
    <w:rsid w:val="000505B9"/>
    <w:rsid w:val="003556B1"/>
    <w:rsid w:val="005218E5"/>
    <w:rsid w:val="007547F7"/>
    <w:rsid w:val="00936F2B"/>
    <w:rsid w:val="00C5263C"/>
    <w:rsid w:val="00D71CEF"/>
    <w:rsid w:val="00FB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5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5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943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PJWSTK</Company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</cp:revision>
  <dcterms:created xsi:type="dcterms:W3CDTF">2014-05-23T13:23:00Z</dcterms:created>
  <dcterms:modified xsi:type="dcterms:W3CDTF">2014-05-23T14:31:00Z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