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GIVE ME THIS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John 4:7-30, 39-42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The Jews had no dealings with the Samaritans.  This was a providential meeting.  Jesus reached out to this lowly woman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The water of this life does not satisfy, only living water will quench the spiritual need and empower the saints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NATURAL WATER CAN NOT QUENCH SPIRITUAL THIRST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Natural water is only temporary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“This” water is not 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 woman wanted lasting physical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Religion will not satisfy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 Samaritans were religious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A form of Godliness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Man must see his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All have sinned  - Rom. 3:23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See beyond the physical realm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WE NEED LIVING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Go to the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Ask of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“If any man thirst, let him come unto me, and drink”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 Holy Spirit - HOLY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Recognize who Jesus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Sir, you have nothing to draw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Thou art a prophet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 Shall flow rivers of living water – John 7: 37-39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He that believeth on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As the Scripture hath said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Without mixture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Poison will produce death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There is a counterfeit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We need a revival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THIS WATER PRODUCES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Power to witness – Acts 1:8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The salvation of souls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“Therefore with joy shall ye draw water out of the wells of </w:t>
        <w:tab/>
        <w:tab/>
        <w:tab/>
        <w:t xml:space="preserve">salvation.”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(Isa 12:3)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Drawn by the power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Born of The Spirit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Be filled with the Spirit – Eph. 5:18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 river of life flowing from within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A manifestation of God’s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In Him is life – John 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 Life of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His life will produce life in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Life from death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E.</w:t>
        <w:tab/>
        <w:t xml:space="preserve">To overcome 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