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Giving, Regardless of Recognition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Mt 6:3 But when thou doest alms, let not thy left hand know what thy right hand doeth:</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w:t>
        <w:tab/>
        <w:t xml:space="preserve">Do not give to be seen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w:t>
        <w:tab/>
        <w:t xml:space="preserve">Do not give for men to see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B.</w:t>
        <w:tab/>
        <w:t xml:space="preserve">Do not give for your own gratitude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w:t>
        <w:tab/>
        <w:t xml:space="preserve">Do not give so God can see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Matthew 7:22 Many will say to me in that day, Lord, Lord, have we not prophesied in thy name? and in thy name have cast out devils? and in thy name done many wonderful works?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Simply give, and God will see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w:t>
        <w:tab/>
        <w:t xml:space="preserve">Give from your heart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Giving should be such a part of our nature that we do it without thinking about it</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w:t>
        <w:tab/>
        <w:t xml:space="preserve">Give for the need</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1.</w:t>
        <w:tab/>
        <w:t xml:space="preserve">People have physical needs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2.</w:t>
        <w:tab/>
        <w:t xml:space="preserve">People have spiritual needs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Through helping their spiritual needs, they will see the life of Christ in us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B.</w:t>
        <w:tab/>
        <w:t xml:space="preserve">Give out of love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1.</w:t>
        <w:tab/>
        <w:t xml:space="preserve">For man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2.</w:t>
        <w:tab/>
        <w:t xml:space="preserve">For God</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count over what has been given, rather go on to give more. —Spurgeon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spacing w:after="300" w:before="0" w:line="240" w:lineRule="auto"/>
      <w:ind w:left="0" w:right="0" w:firstLine="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