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John 6:27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For God giveth not the spirit by measure…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The husbandmen that laboreth must be the first partaker of the fruits.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Before I can labor like I should, I must know that God is truth.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Verdana" w:ascii="Verdana" w:hAnsi="Verdana" w:cs="Verdana"/>
          <w:smallCaps w:val="0"/>
          <w:highlight w:val="none"/>
          <w:rtl w:val="0"/>
        </w:rPr>
        <w:t xml:space="preserve">→</w:t>
      </w:r>
      <w:r w:rsidDel="00000000" w:rsidR="00000000" w:rsidRPr="00000000">
        <w:rPr>
          <w:smallCaps w:val="0"/>
          <w:highlight w:val="none"/>
          <w:rtl w:val="0"/>
        </w:rPr>
        <w:t xml:space="preserve">--labor not for that meat the perisheth but for that ….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Paul, “Timothy what is going to make you effective is not that you just work real heard, but as you begin to taste of God.”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mallCaps w:val="0"/>
          <w:sz w:val="28"/>
          <w:highlight w:val="none"/>
          <w:rtl w:val="0"/>
        </w:rPr>
        <w:t xml:space="preserve">I. There hast to be a hunger for the things of God before you will labor properly.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100428 SGRSR John 6.docx.docx</dc:title>
</cp:coreProperties>
</file>