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Being Filled and Refilled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Philippians 4:11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Going by your own emotions will lead you to be destroyed.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Be filled with the fruits of righteousness by Jesus Christ.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ab/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The question is not will the obedient be blessed of god, but ’will we be obedient?’. People get tired of doing the things of God.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Gentleness, Goodness, faith, temperance, longsuffering…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We need to be saved first, followed by the baptism of the Holy ghost and eventually completed with the Fullness of the Spirit.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Ezekiel 3:3 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Spirit entered into him.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Like honey – its sweet, a blessing, victorious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But men are not feeding on the word of God. Talk about Jesus but live worldly and selfish.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We need that oil. 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Revelation 3 “Buy of Me” This is not a one time experience! Be filled and refilled! 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We can’t allow other people’s thoughts, feelings, priorities to dominate our hunger and seeking for God.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smallCaps w:val="0"/>
          <w:highlight w:val="none"/>
          <w:rtl w:val="0"/>
        </w:rPr>
        <w:t xml:space="preserve">His joy must remain in us. “In this world you will have tribulation of be of good cheer I have overcome the world…”</w:t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838" w:val="left"/>
        </w:tabs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100620P SGRSR Being Filled and Refilled.docx.docx</dc:title>
</cp:coreProperties>
</file>