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Pm, June 27,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Going Forward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Mark 14:35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need something to help in the midnight hour. Real, substance.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Mark 14:35—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And he went forward a little, and fell on the ground, and prayed that, if it were possible, the hour might pass from him. 36 And he said, Abba, Father, all things are possible unto thee; take away this cup from me: nevertheless not what I will, but what thou wilt.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He has brought Peter, James and John a little further with him: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1.--- And they came to a place which was named Gethsemane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2.-- And he taketh with him Peter and James and John,;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3.--And he went forward a little,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100627P SGRSR going Forward.docx.docx</dc:title>
</cp:coreProperties>
</file>