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G. Reynolds, Sr.</w:t>
      </w:r>
    </w:p>
    <w:p w:rsidDel="00000000" w:rsidRDefault="00000000" w:rsidR="00000000" w:rsidRPr="00000000" w:rsidP="00000000">
      <w:pPr>
        <w:jc w:val="right"/>
      </w:pPr>
      <w:r w:rsidDel="00000000" w:rsidR="00000000" w:rsidRPr="00000000">
        <w:rPr>
          <w:smallCaps w:val="0"/>
          <w:highlight w:val="none"/>
          <w:rtl w:val="0"/>
        </w:rPr>
        <w:t xml:space="preserve">Wednesday, November 10, 2010</w:t>
      </w:r>
    </w:p>
    <w:p w:rsidDel="00000000" w:rsidRDefault="00000000" w:rsidR="00000000" w:rsidRPr="00000000" w:rsidP="00000000">
      <w:pPr/>
      <w:r w:rsidDel="00000000" w:rsidR="00000000" w:rsidRPr="00000000">
        <w:rPr>
          <w:smallCaps w:val="0"/>
          <w:highlight w:val="none"/>
          <w:rtl w:val="0"/>
        </w:rPr>
        <w:t xml:space="preserve">Title: Ye Know Him</w:t>
      </w:r>
    </w:p>
    <w:p w:rsidDel="00000000" w:rsidRDefault="00000000" w:rsidR="00000000" w:rsidRPr="00000000" w:rsidP="00000000">
      <w:pPr/>
      <w:r w:rsidDel="00000000" w:rsidR="00000000" w:rsidRPr="00000000">
        <w:rPr>
          <w:smallCaps w:val="0"/>
          <w:highlight w:val="none"/>
          <w:rtl w:val="0"/>
        </w:rPr>
        <w:t xml:space="preserve">Text: John 14:16,17</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John 14:16, 17—</w:t>
      </w:r>
      <w:r w:rsidDel="00000000" w:rsidR="00000000" w:rsidRPr="00000000">
        <w:rPr>
          <w:i w:val="1"/>
          <w:smallCaps w:val="0"/>
          <w:highlight w:val="none"/>
          <w:rtl w:val="0"/>
        </w:rPr>
        <w:t xml:space="preserve">And I will pray the Father, and he shall give you another Comforter, that he may abide with you for ever; Even the Spirit of truth; whom the world cannot receive, because it seeth him not, neither knoweth him: but </w:t>
      </w:r>
      <w:r w:rsidDel="00000000" w:rsidR="00000000" w:rsidRPr="00000000">
        <w:rPr>
          <w:i w:val="1"/>
          <w:smallCaps w:val="0"/>
          <w:highlight w:val="none"/>
          <w:u w:val="single"/>
          <w:rtl w:val="0"/>
        </w:rPr>
        <w:t xml:space="preserve">ye know him;</w:t>
      </w:r>
      <w:r w:rsidDel="00000000" w:rsidR="00000000" w:rsidRPr="00000000">
        <w:rPr>
          <w:i w:val="1"/>
          <w:smallCaps w:val="0"/>
          <w:highlight w:val="none"/>
          <w:rtl w:val="0"/>
        </w:rPr>
        <w:t xml:space="preserve"> for he dwelleth with you, and shall be in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Believe, have faith is the cost.</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 Holy Ghost, Comforter</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Peter Prayed, v.42, </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Luke 11:35 </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Take heed therefore that the light which is in thee be not darkness.</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Luke 12:15 </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And he said unto them, Take heed, and beware of covetousness: for a man's life consisteth not in the abundance of the things which he possesseth.</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Luke 17:3 </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Take heed to yourselves: If thy brother trespass against thee, rebuke him; and if he repent, forgive him.</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Luke 21:34—</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And take heed to yourselves, lest at any time your hearts be overcharged with surfeiting, and drunkenness, and cares of this life, and so that day come upon you unawares</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Ac 20:28—</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Take heed therefore unto yourselves, and to all the flock, over the which the Holy Ghost hath made you overseers, to feed the church of God, which he hath purchased with his own blood.</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Ro 11:21 For if God spared not the natural branches, take heed lest he also spare not thee.</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1Co 10:12 Wherefore let him that thinketh he standeth take heed lest he fall. </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Gal. 5:15—But if ye bite and devour one another, take heed that ye be not consumed one of another.</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Col. 4:17 to the ministry</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101110 SGRSR YeKnowHim.docx.docx</dc:title>
</cp:coreProperties>
</file>