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Title: The Model Walk of Life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Text: I Thessalonians 4:1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walk of life.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Trebuchet MS" w:ascii="Trebuchet MS" w:hAnsi="Trebuchet MS" w:cs="Trebuchet MS"/>
          <w:i w:val="1"/>
          <w:sz w:val="20"/>
          <w:highlight w:val="white"/>
          <w:rtl w:val="0"/>
        </w:rPr>
        <w:t xml:space="preserve">Furthermore then we beseech you, brethren, and exhort [you] by the Lord Jesus, that as ye have received of us how ye ought to walk and to please God, [so] ye would abound more and more.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Your very motive and action will prove if we are being led by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120805A SGRSR.docx</dc:title>
</cp:coreProperties>
</file>