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Joh 2:1 And the third day there was a marriage in Cana of Galilee; and the mother of Jesus was there: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2 And both Jesus was called, and his disciples, to the marriage.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3 And when they wanted wine, the mother of Jesus saith unto him, They have no wine.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4 Jesus saith unto her, Woman, what have I to do with thee? mine hour is not yet come.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5 His mother saith unto the servants, Whatsoever he saith unto you, do it.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6 And there were set there six waterpots of stone, after the manner of the purifying of the Jews, containing two or three firkins apiece.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7 Jesus saith unto them, Fill the waterpots with water. And they filled them up to the brim.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8 And he saith unto them, Draw out now, and bear unto the governor of the feast. And they bare it.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9  When the ruler of the feast had tasted the water that was made wine, and knew not whence it was: (but the servants which drew the water knew;) the governor of the feast called the bridegroom,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10 And saith unto him, Every man at the beginning doth set forth good wine; and when men have well drunk, then that which is worse: but thou hast kept the good wine until now.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 11 This beginning of miracles did Jesus in Cana of Galilee, and manifested forth his glory; and his disciples believed on him.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 2.docx.docx</dc:title>
</cp:coreProperties>
</file>