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Times New Roman" w:ascii="Times New Roman" w:hAnsi="Times New Roman" w:cs="Times New Roman"/>
          <w:b w:val="1"/>
          <w:smallCaps w:val="0"/>
          <w:sz w:val="32"/>
          <w:highlight w:val="none"/>
          <w:u w:val="single"/>
          <w:rtl w:val="0"/>
        </w:rPr>
        <w:t xml:space="preserve">Put on Christ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Gal. 3:27 For as many of you as have been baptized into Christ have put on Christ.                  28 There is neither Jew nor Greek, there is neither bond nor free, there is neither male nor female: for ye are all one in Christ Jesus.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There is a need for Laws, commandments, rules, authority, but never to take the place of Power.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2Timothy 3:5 Having a form of godliness, but denying the power thereof: from such turn away.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most important thing is not to be seen by the world, or even by the Christian community, as a good person or a good teacher, but to be like Jesus. To die to Self, that is so important.</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on Christ.docx.docx</dc:title>
</cp:coreProperties>
</file>