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mallCaps w:val="0"/>
          <w:sz w:val="28"/>
          <w:highlight w:val="none"/>
          <w:rtl w:val="0"/>
        </w:rPr>
        <w:t xml:space="preserve">Receiving Christ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John 1:9 That was the true Light, which lighteth every man that cometh into the world.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 10 He was in the world, and the world was made by him, and the world knew him not.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 11 He came unto his own, and his own received him not.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 12 But as many as received him, to them gave he power to become the sons of God, even to them that believe on his name: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 13 Which were born, not of blood, nor of the will of the flesh, nor of the will of man, but of God.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Receiving Christ.docx.docx</dc:title>
</cp:coreProperties>
</file>