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Seeking His Glory</w:t>
      </w:r>
    </w:p>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The Glorious Inheritance</w:t>
      </w:r>
    </w:p>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Seeking That God would Glorify His Son in Us</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John 7:</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17 If any man will do his will, he shall know of the doctrine, whether it be of God, or whether I speak of myself.                                                        18 He that speaketh of himself seeketh his own glory: but </w:t>
      </w:r>
      <w:r w:rsidDel="00000000" w:rsidR="00000000" w:rsidRPr="00000000">
        <w:rPr>
          <w:rFonts w:eastAsia="Arial" w:ascii="Arial" w:hAnsi="Arial" w:cs="Arial"/>
          <w:b w:val="1"/>
          <w:smallCaps w:val="0"/>
          <w:sz w:val="32"/>
          <w:highlight w:val="none"/>
          <w:rtl w:val="0"/>
        </w:rPr>
        <w:t xml:space="preserve">he that seeketh his glory</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that sent him</w:t>
      </w:r>
      <w:r w:rsidDel="00000000" w:rsidR="00000000" w:rsidRPr="00000000">
        <w:rPr>
          <w:rFonts w:eastAsia="Arial" w:ascii="Arial" w:hAnsi="Arial" w:cs="Arial"/>
          <w:smallCaps w:val="0"/>
          <w:sz w:val="32"/>
          <w:highlight w:val="none"/>
          <w:rtl w:val="0"/>
        </w:rPr>
        <w:t xml:space="preserve">, the same is true, and no unrighteousness is in him.</w:t>
      </w:r>
    </w:p>
    <w:p w:rsidDel="00000000" w:rsidRDefault="00000000" w:rsidR="00000000" w:rsidRPr="00000000" w:rsidP="00000000">
      <w:pPr>
        <w:numPr>
          <w:ilvl w:val="0"/>
          <w:numId w:val="2"/>
        </w:numPr>
        <w:spacing w:line="240" w:after="0" w:lineRule="auto"/>
        <w:ind w:hanging="360" w:left="720"/>
      </w:pPr>
      <w:r w:rsidDel="00000000" w:rsidR="00000000" w:rsidRPr="00000000">
        <w:rPr>
          <w:rFonts w:eastAsia="Arial" w:ascii="Arial" w:hAnsi="Arial" w:cs="Arial"/>
          <w:smallCaps w:val="0"/>
          <w:sz w:val="32"/>
          <w:highlight w:val="none"/>
          <w:rtl w:val="0"/>
        </w:rPr>
        <w:t xml:space="preserve">The true doctrine of salvation sets forth the glory of God.</w:t>
      </w:r>
    </w:p>
    <w:p w:rsidDel="00000000" w:rsidRDefault="00000000" w:rsidR="00000000" w:rsidRPr="00000000" w:rsidP="00000000">
      <w:pPr>
        <w:numPr>
          <w:ilvl w:val="0"/>
          <w:numId w:val="2"/>
        </w:numPr>
        <w:spacing w:line="240" w:after="0" w:lineRule="auto"/>
        <w:ind w:hanging="360" w:left="720"/>
      </w:pPr>
      <w:r w:rsidDel="00000000" w:rsidR="00000000" w:rsidRPr="00000000">
        <w:rPr>
          <w:rFonts w:eastAsia="Arial" w:ascii="Arial" w:hAnsi="Arial" w:cs="Arial"/>
          <w:smallCaps w:val="0"/>
          <w:sz w:val="32"/>
          <w:highlight w:val="none"/>
          <w:rtl w:val="0"/>
        </w:rPr>
        <w:t xml:space="preserve">The true doctrine of the baptism of the Holy Ghost glorifies God</w:t>
      </w:r>
    </w:p>
    <w:p w:rsidDel="00000000" w:rsidRDefault="00000000" w:rsidR="00000000" w:rsidRPr="00000000" w:rsidP="00000000">
      <w:pPr>
        <w:numPr>
          <w:ilvl w:val="0"/>
          <w:numId w:val="2"/>
        </w:numPr>
        <w:spacing w:line="240" w:after="0" w:lineRule="auto"/>
        <w:ind w:hanging="360" w:left="720"/>
      </w:pPr>
      <w:r w:rsidDel="00000000" w:rsidR="00000000" w:rsidRPr="00000000">
        <w:rPr>
          <w:rFonts w:eastAsia="Arial" w:ascii="Arial" w:hAnsi="Arial" w:cs="Arial"/>
          <w:smallCaps w:val="0"/>
          <w:sz w:val="32"/>
          <w:highlight w:val="none"/>
          <w:rtl w:val="0"/>
        </w:rPr>
        <w:t xml:space="preserve">False doctrine dishonors the glory of God.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The true doctrine of salvation differs from the false in this, that the true doctrine sets forth the glory of God, and the false doctrine by puffing up men, dishonours the glory of God.</w:t>
      </w:r>
    </w:p>
    <w:p w:rsidDel="00000000" w:rsidRDefault="00000000" w:rsidR="00000000" w:rsidRPr="00000000" w:rsidP="00000000">
      <w:pPr>
        <w:spacing w:line="240" w:lineRule="auto"/>
      </w:pPr>
      <w:r w:rsidDel="00000000" w:rsidR="00000000" w:rsidRPr="00000000">
        <w:rPr>
          <w:rFonts w:eastAsia="Arial" w:ascii="Arial" w:hAnsi="Arial" w:cs="Arial"/>
          <w:i w:val="1"/>
          <w:smallCaps w:val="0"/>
          <w:sz w:val="32"/>
          <w:highlight w:val="none"/>
          <w:rtl w:val="0"/>
        </w:rPr>
        <w:t xml:space="preserve">“If any man wilt do his will”</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1"/>
        </w:numPr>
        <w:tabs>
          <w:tab w:pos="1080" w:val="left"/>
        </w:tabs>
        <w:spacing w:after="0" w:lineRule="auto"/>
        <w:ind w:hanging="720" w:left="1080"/>
      </w:pPr>
      <w:r w:rsidDel="00000000" w:rsidR="00000000" w:rsidRPr="00000000">
        <w:rPr>
          <w:rFonts w:eastAsia="Arial" w:ascii="Arial" w:hAnsi="Arial" w:cs="Arial"/>
          <w:smallCaps w:val="0"/>
          <w:sz w:val="32"/>
          <w:highlight w:val="none"/>
          <w:rtl w:val="0"/>
        </w:rPr>
        <w:t xml:space="preserve">I will give you a sure rule by which ye may judge of my doctrine: </w:t>
      </w:r>
    </w:p>
    <w:p w:rsidDel="00000000" w:rsidRDefault="00000000" w:rsidR="00000000" w:rsidRPr="00000000" w:rsidP="00000000">
      <w:pPr>
        <w:numPr>
          <w:ilvl w:val="1"/>
          <w:numId w:val="1"/>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If you really will do the will of God,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begin the practice of it;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take my doctrine, and apply it to all that you know God requires of man;</w:t>
      </w:r>
    </w:p>
    <w:p w:rsidDel="00000000" w:rsidRDefault="00000000" w:rsidR="00000000" w:rsidRPr="00000000" w:rsidP="00000000">
      <w:pPr>
        <w:numPr>
          <w:ilvl w:val="1"/>
          <w:numId w:val="1"/>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he shall know of the doctrine</w:t>
      </w:r>
    </w:p>
    <w:p w:rsidDel="00000000" w:rsidRDefault="00000000" w:rsidR="00000000" w:rsidRPr="00000000" w:rsidP="00000000">
      <w:pPr>
        <w:spacing w:line="240" w:lineRule="auto"/>
      </w:pPr>
      <w:r w:rsidDel="00000000" w:rsidR="00000000" w:rsidRPr="00000000">
        <w:rPr>
          <w:rFonts w:eastAsia="Arial" w:ascii="Arial" w:hAnsi="Arial" w:cs="Arial"/>
          <w:i w:val="1"/>
          <w:smallCaps w:val="0"/>
          <w:sz w:val="32"/>
          <w:highlight w:val="none"/>
          <w:rtl w:val="0"/>
        </w:rPr>
        <w:t xml:space="preserve">“He that speaketh of himself”</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1"/>
        </w:numPr>
        <w:tabs>
          <w:tab w:pos="1080" w:val="left"/>
        </w:tabs>
        <w:spacing w:after="0" w:lineRule="auto"/>
        <w:ind w:hanging="720" w:left="1080"/>
      </w:pPr>
      <w:r w:rsidDel="00000000" w:rsidR="00000000" w:rsidRPr="00000000">
        <w:rPr>
          <w:rFonts w:eastAsia="Arial" w:ascii="Arial" w:hAnsi="Arial" w:cs="Arial"/>
          <w:smallCaps w:val="0"/>
          <w:sz w:val="32"/>
          <w:highlight w:val="none"/>
          <w:rtl w:val="0"/>
        </w:rPr>
        <w:t xml:space="preserve">I will give you another rule, </w:t>
      </w:r>
    </w:p>
    <w:p w:rsidDel="00000000" w:rsidRDefault="00000000" w:rsidR="00000000" w:rsidRPr="00000000" w:rsidP="00000000">
      <w:pPr>
        <w:numPr>
          <w:ilvl w:val="1"/>
          <w:numId w:val="1"/>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whereby you shall know whether I am from God or not: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I speak so as to procure my own glory, to gratify vanity, or to secure and promote my secular interests, then reject me as a deceiver and as a false prophet.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But if I act only to promote the glory of God, to induce all men to love and obey him;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I propose nothing but what leads to the perfection of his law, and the accomplishment of its ordinances, you cannot help acknowledging me at least for a true prophet; </w:t>
      </w:r>
    </w:p>
    <w:p w:rsidDel="00000000" w:rsidRDefault="00000000" w:rsidR="00000000" w:rsidRPr="00000000" w:rsidP="00000000">
      <w:pPr>
        <w:numPr>
          <w:ilvl w:val="2"/>
          <w:numId w:val="1"/>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you add to this the proofs which I have given of my mission and power, you must acknowledge me as the mighty power of God, and the promised Messiah.</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Ho 8:12 I have written to him the great things of my law, but they were counted as a strange thing.</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Ge 15:1 After these things the word of the LORD came unto Abram in a vision, saying, Fear not, Abram: I am thy shield, and thy exceeding great reward.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1Ch 16:10 Glory ye in his holy name: let the heart of them rejoice that seek the LORD. 11 Seek the LORD and his strength, seek his face continually.</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Ps 50:23 Whoso offereth praise glorifieth me: and to him that ordereth his conversation aright will I shew the salvation of God.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 5:23 That all men should honour the Son, even as they honour the Father. He that honoureth not the Son honoureth not the Father which hath sent him.</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John 17:1 ¶ These words spake Jesus, and lifted up his eyes to heaven, and said, Father, the hour is come; glorify thy Son, that thy Son also may glorify thee:</w:t>
      </w:r>
    </w:p>
    <w:p w:rsidDel="00000000" w:rsidRDefault="00000000" w:rsidR="00000000" w:rsidRPr="00000000" w:rsidP="00000000">
      <w:pPr>
        <w:spacing w:line="24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Seeking His Glory.docx.docx</dc:title>
</cp:coreProperties>
</file>