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center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808080"/>
          <w:sz w:val="40"/>
          <w:highlight w:val="none"/>
          <w:u w:val="none"/>
          <w:vertAlign w:val="baseline"/>
          <w:rtl w:val="0"/>
        </w:rPr>
        <w:t xml:space="preserve">Song of Solomon Lesson 31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center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808080"/>
          <w:sz w:val="28"/>
          <w:highlight w:val="none"/>
          <w:u w:val="none"/>
          <w:vertAlign w:val="baseline"/>
          <w:rtl w:val="0"/>
        </w:rPr>
        <w:t xml:space="preserve">– The Brides Perfection –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center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808080"/>
          <w:sz w:val="28"/>
          <w:highlight w:val="none"/>
          <w:u w:val="none"/>
          <w:vertAlign w:val="baseline"/>
          <w:rtl w:val="0"/>
        </w:rPr>
        <w:t xml:space="preserve">Song 4:3 Thy lips are like a thread of scarlet, and thy speech is comely: thy temples are like a piece of a pomegranate within thy locks.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Song 6:7 As a piece of a pomegranate are thy temples within thy locks.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Real liberty and freedom is knowing and applying truth.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Anything attracting you and you will not see the better things of God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IV.</w:t>
        <w:tab/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Thy lips are like a thread of scarlet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 Redeemed soul brought to health.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80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Not white lips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80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Not leprous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80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Not a rundown condition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Letter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 of Solomon Lesson 31.docx.docx</dc:title>
</cp:coreProperties>
</file>