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highlight w:val="none"/>
          <w:rtl w:val="0"/>
        </w:rPr>
        <w:t xml:space="preserve">The Imitation of Christ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Page 16-17     written by a monk for monks indicating a narrow point of view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17-In comparison to the soul the body was vile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17-human knowledge is vain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17-compunction of heart     pg.32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32-those who follow their own sensuality hurt their own cause and lose the grace of God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32-what avail is knowledge without the fear of God?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33-What avail is knowledge without love, blocked from the perfect and true love of God;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True wisdom, think yourself unlearned and Learn, learn to prefer others before yourself,  Learn to be unknown, learn truthful knowledge,   great wisdom and great perfection.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34-Judge no man more frail than yourself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34-Truth teaching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34-We are hindered the most by our own affections.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35-study to live well and bring forth good fruit.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36-He is very well taught who forsakes his own will and follows the Will of god.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40-It is a great thing to be obedient and under authority.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44-as long as we live in this world we cannot be fully without temptation.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45-Temptation proves the righteous man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46-Suffer patiently in the time of adversity.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47- In judging others a man often labors in vain, often errs, and carelessly offends God, but in judging self he always labors fruitfully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47-People lose true judgment through love of themselves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47-Many people through a secret love for themselves work indiscreetly according to their own heart.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48- a spark of perfect charity.     (all earthly things are full of vanity)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Imitation of Christ.docx.docx</dc:title>
</cp:coreProperties>
</file>