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D3E" w:rsidRDefault="002C2D3E">
      <w:r>
        <w:rPr>
          <w:noProof/>
        </w:rPr>
        <w:drawing>
          <wp:inline distT="0" distB="0" distL="0" distR="0">
            <wp:extent cx="5715000" cy="5715000"/>
            <wp:effectExtent l="0" t="0" r="0" b="0"/>
            <wp:docPr id="25" name="Picture 25" descr="BioMass 100 High Efficiency Wood/Coal Burning Gasification Boiler 91% -340,000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BioMass 100 High Efficiency Wood/Coal Burning Gasification Boiler 91% -340,000B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2C2D3E" w:rsidRPr="002C2D3E" w:rsidRDefault="002C2D3E" w:rsidP="002C2D3E">
      <w:pPr>
        <w:tabs>
          <w:tab w:val="left" w:pos="1680"/>
        </w:tabs>
      </w:pPr>
      <w:r>
        <w:tab/>
      </w:r>
    </w:p>
    <w:tbl>
      <w:tblPr>
        <w:tblW w:w="2942" w:type="dxa"/>
        <w:tblCellSpacing w:w="0" w:type="dxa"/>
        <w:tblCellMar>
          <w:left w:w="0" w:type="dxa"/>
          <w:right w:w="0" w:type="dxa"/>
        </w:tblCellMar>
        <w:tblLook w:val="04A0" w:firstRow="1" w:lastRow="0" w:firstColumn="1" w:lastColumn="0" w:noHBand="0" w:noVBand="1"/>
      </w:tblPr>
      <w:tblGrid>
        <w:gridCol w:w="1601"/>
        <w:gridCol w:w="1335"/>
        <w:gridCol w:w="6"/>
      </w:tblGrid>
      <w:tr w:rsidR="009571BD" w:rsidRPr="002C2D3E" w:rsidTr="002C2D3E">
        <w:trPr>
          <w:tblCellSpacing w:w="0" w:type="dxa"/>
        </w:trPr>
        <w:tc>
          <w:tcPr>
            <w:tcW w:w="0" w:type="auto"/>
            <w:noWrap/>
            <w:vAlign w:val="center"/>
            <w:hideMark/>
          </w:tcPr>
          <w:p w:rsidR="002C2D3E" w:rsidRPr="002C2D3E" w:rsidRDefault="002C2D3E" w:rsidP="002C2D3E">
            <w:pPr>
              <w:spacing w:after="0" w:line="240" w:lineRule="auto"/>
              <w:rPr>
                <w:rFonts w:ascii="Arial" w:eastAsia="Times New Roman" w:hAnsi="Arial" w:cs="Arial"/>
                <w:b/>
                <w:bCs/>
                <w:color w:val="006699"/>
                <w:sz w:val="30"/>
                <w:szCs w:val="30"/>
              </w:rPr>
            </w:pPr>
            <w:r w:rsidRPr="002C2D3E">
              <w:rPr>
                <w:rFonts w:ascii="Arial" w:eastAsia="Times New Roman" w:hAnsi="Arial" w:cs="Arial"/>
                <w:b/>
                <w:bCs/>
                <w:color w:val="006699"/>
                <w:sz w:val="30"/>
                <w:szCs w:val="30"/>
              </w:rPr>
              <w:t xml:space="preserve">Your Price: </w:t>
            </w:r>
          </w:p>
        </w:tc>
        <w:tc>
          <w:tcPr>
            <w:tcW w:w="0" w:type="auto"/>
            <w:vAlign w:val="center"/>
            <w:hideMark/>
          </w:tcPr>
          <w:p w:rsidR="002C2D3E" w:rsidRPr="002C2D3E" w:rsidRDefault="002C2D3E" w:rsidP="002C2D3E">
            <w:pPr>
              <w:spacing w:after="0" w:line="240" w:lineRule="auto"/>
              <w:rPr>
                <w:rFonts w:ascii="Arial" w:eastAsia="Times New Roman" w:hAnsi="Arial" w:cs="Arial"/>
                <w:b/>
                <w:bCs/>
                <w:sz w:val="30"/>
                <w:szCs w:val="30"/>
              </w:rPr>
            </w:pPr>
            <w:r w:rsidRPr="002C2D3E">
              <w:rPr>
                <w:rFonts w:ascii="Arial" w:eastAsia="Times New Roman" w:hAnsi="Arial" w:cs="Arial"/>
                <w:b/>
                <w:bCs/>
                <w:sz w:val="30"/>
                <w:szCs w:val="30"/>
              </w:rPr>
              <w:t>$9,995.95</w:t>
            </w:r>
          </w:p>
        </w:tc>
        <w:tc>
          <w:tcPr>
            <w:tcW w:w="0" w:type="auto"/>
            <w:vAlign w:val="center"/>
            <w:hideMark/>
          </w:tcPr>
          <w:p w:rsidR="002C2D3E" w:rsidRPr="002C2D3E" w:rsidRDefault="002C2D3E" w:rsidP="002C2D3E">
            <w:pPr>
              <w:spacing w:after="0" w:line="240" w:lineRule="auto"/>
              <w:rPr>
                <w:rFonts w:ascii="Times New Roman" w:eastAsia="Times New Roman" w:hAnsi="Times New Roman" w:cs="Times New Roman"/>
                <w:sz w:val="24"/>
                <w:szCs w:val="24"/>
              </w:rPr>
            </w:pPr>
          </w:p>
        </w:tc>
      </w:tr>
      <w:tr w:rsidR="002C2D3E" w:rsidRPr="002C2D3E" w:rsidTr="002C2D3E">
        <w:trPr>
          <w:tblCellSpacing w:w="0" w:type="dxa"/>
        </w:trPr>
        <w:tc>
          <w:tcPr>
            <w:tcW w:w="0" w:type="auto"/>
            <w:noWrap/>
            <w:vAlign w:val="center"/>
          </w:tcPr>
          <w:p w:rsidR="002C2D3E" w:rsidRDefault="002C2D3E" w:rsidP="002C2D3E">
            <w:pPr>
              <w:spacing w:after="0" w:line="240" w:lineRule="auto"/>
              <w:rPr>
                <w:rFonts w:ascii="Arial" w:eastAsia="Times New Roman" w:hAnsi="Arial" w:cs="Arial"/>
                <w:b/>
                <w:bCs/>
                <w:color w:val="006699"/>
                <w:sz w:val="30"/>
                <w:szCs w:val="30"/>
              </w:rPr>
            </w:pPr>
          </w:p>
          <w:p w:rsidR="002C2D3E" w:rsidRDefault="002C2D3E" w:rsidP="002C2D3E">
            <w:pPr>
              <w:spacing w:after="0" w:line="240" w:lineRule="auto"/>
              <w:rPr>
                <w:rFonts w:ascii="Arial" w:eastAsia="Times New Roman" w:hAnsi="Arial" w:cs="Arial"/>
                <w:b/>
                <w:bCs/>
                <w:color w:val="006699"/>
                <w:sz w:val="30"/>
                <w:szCs w:val="30"/>
              </w:rPr>
            </w:pPr>
          </w:p>
          <w:p w:rsidR="002C2D3E" w:rsidRDefault="002C2D3E" w:rsidP="002C2D3E">
            <w:pPr>
              <w:spacing w:after="0" w:line="240" w:lineRule="auto"/>
              <w:rPr>
                <w:rFonts w:ascii="Arial" w:eastAsia="Times New Roman" w:hAnsi="Arial" w:cs="Arial"/>
                <w:b/>
                <w:bCs/>
                <w:color w:val="006699"/>
                <w:sz w:val="30"/>
                <w:szCs w:val="30"/>
              </w:rPr>
            </w:pPr>
          </w:p>
          <w:p w:rsidR="002C2D3E" w:rsidRPr="002C2D3E" w:rsidRDefault="002C2D3E" w:rsidP="002C2D3E">
            <w:pPr>
              <w:spacing w:after="0" w:line="240" w:lineRule="auto"/>
              <w:rPr>
                <w:rFonts w:ascii="Arial" w:eastAsia="Times New Roman" w:hAnsi="Arial" w:cs="Arial"/>
                <w:b/>
                <w:bCs/>
                <w:color w:val="006699"/>
                <w:sz w:val="30"/>
                <w:szCs w:val="30"/>
              </w:rPr>
            </w:pPr>
          </w:p>
        </w:tc>
        <w:tc>
          <w:tcPr>
            <w:tcW w:w="0" w:type="auto"/>
            <w:vAlign w:val="center"/>
          </w:tcPr>
          <w:p w:rsidR="002C2D3E" w:rsidRPr="002C2D3E" w:rsidRDefault="002C2D3E" w:rsidP="002C2D3E">
            <w:pPr>
              <w:spacing w:after="0" w:line="240" w:lineRule="auto"/>
              <w:rPr>
                <w:rFonts w:ascii="Arial" w:eastAsia="Times New Roman" w:hAnsi="Arial" w:cs="Arial"/>
                <w:b/>
                <w:bCs/>
                <w:color w:val="F1671F"/>
                <w:sz w:val="30"/>
                <w:szCs w:val="30"/>
              </w:rPr>
            </w:pPr>
          </w:p>
        </w:tc>
        <w:tc>
          <w:tcPr>
            <w:tcW w:w="0" w:type="auto"/>
            <w:vAlign w:val="center"/>
          </w:tcPr>
          <w:p w:rsidR="002C2D3E" w:rsidRPr="002C2D3E" w:rsidRDefault="002C2D3E" w:rsidP="002C2D3E">
            <w:pPr>
              <w:spacing w:after="0" w:line="240" w:lineRule="auto"/>
              <w:rPr>
                <w:rFonts w:ascii="Times New Roman" w:eastAsia="Times New Roman" w:hAnsi="Times New Roman" w:cs="Times New Roman"/>
                <w:sz w:val="24"/>
                <w:szCs w:val="24"/>
              </w:rPr>
            </w:pPr>
          </w:p>
        </w:tc>
        <w:bookmarkStart w:id="0" w:name="_GoBack"/>
        <w:bookmarkEnd w:id="0"/>
      </w:tr>
    </w:tbl>
    <w:p w:rsidR="002C2D3E" w:rsidRDefault="002C2D3E" w:rsidP="002C2D3E">
      <w:pPr>
        <w:pStyle w:val="NormalWeb"/>
        <w:shd w:val="clear" w:color="auto" w:fill="E8E8E8"/>
        <w:jc w:val="center"/>
        <w:rPr>
          <w:sz w:val="28"/>
          <w:szCs w:val="28"/>
        </w:rPr>
      </w:pPr>
      <w:r w:rsidRPr="009E0832">
        <w:rPr>
          <w:sz w:val="28"/>
          <w:szCs w:val="28"/>
        </w:rPr>
        <w:t xml:space="preserve">New Horizon </w:t>
      </w:r>
      <w:proofErr w:type="spellStart"/>
      <w:r w:rsidRPr="009E0832">
        <w:rPr>
          <w:sz w:val="28"/>
          <w:szCs w:val="28"/>
        </w:rPr>
        <w:t>BioMass</w:t>
      </w:r>
      <w:proofErr w:type="spellEnd"/>
      <w:r w:rsidRPr="009E0832">
        <w:rPr>
          <w:sz w:val="28"/>
          <w:szCs w:val="28"/>
        </w:rPr>
        <w:t xml:space="preserve"> 100 High Efficiency Wood/Coal Burning Gasification Residential Boiler 91% - 340,000 BTU </w:t>
      </w:r>
    </w:p>
    <w:p w:rsidR="009571BD" w:rsidRPr="009E0832" w:rsidRDefault="009571BD" w:rsidP="002C2D3E">
      <w:pPr>
        <w:pStyle w:val="NormalWeb"/>
        <w:shd w:val="clear" w:color="auto" w:fill="E8E8E8"/>
        <w:jc w:val="center"/>
        <w:rPr>
          <w:sz w:val="28"/>
          <w:szCs w:val="28"/>
        </w:rPr>
      </w:pPr>
    </w:p>
    <w:p w:rsidR="002C2D3E" w:rsidRPr="009E0832" w:rsidRDefault="002C2D3E" w:rsidP="002C2D3E">
      <w:pPr>
        <w:pStyle w:val="NormalWeb"/>
        <w:shd w:val="clear" w:color="auto" w:fill="E8E8E8"/>
        <w:rPr>
          <w:rFonts w:ascii="Arial" w:hAnsi="Arial" w:cs="Arial"/>
          <w:color w:val="000000"/>
          <w:sz w:val="28"/>
          <w:szCs w:val="28"/>
        </w:rPr>
      </w:pPr>
      <w:proofErr w:type="spellStart"/>
      <w:r w:rsidRPr="009E0832">
        <w:rPr>
          <w:rFonts w:ascii="Arial" w:hAnsi="Arial" w:cs="Arial"/>
          <w:color w:val="000000"/>
          <w:sz w:val="28"/>
          <w:szCs w:val="28"/>
        </w:rPr>
        <w:lastRenderedPageBreak/>
        <w:t>BioMass</w:t>
      </w:r>
      <w:proofErr w:type="spellEnd"/>
      <w:r w:rsidRPr="009E0832">
        <w:rPr>
          <w:rFonts w:ascii="Arial" w:hAnsi="Arial" w:cs="Arial"/>
          <w:color w:val="000000"/>
          <w:sz w:val="28"/>
          <w:szCs w:val="28"/>
        </w:rPr>
        <w:t xml:space="preserve"> 100 Wood/Pellets/Wood Chips/Saw Dust/Coal/Corn Cobs with Kernels Burning &amp; Gasification Combustion Steel Boiler provide a convenient, safe and </w:t>
      </w:r>
      <w:proofErr w:type="gramStart"/>
      <w:r w:rsidRPr="009E0832">
        <w:rPr>
          <w:rFonts w:ascii="Arial" w:hAnsi="Arial" w:cs="Arial"/>
          <w:color w:val="000000"/>
          <w:sz w:val="28"/>
          <w:szCs w:val="28"/>
        </w:rPr>
        <w:t>environmentally</w:t>
      </w:r>
      <w:proofErr w:type="gramEnd"/>
      <w:r w:rsidRPr="009E0832">
        <w:rPr>
          <w:rFonts w:ascii="Arial" w:hAnsi="Arial" w:cs="Arial"/>
          <w:color w:val="000000"/>
          <w:sz w:val="28"/>
          <w:szCs w:val="28"/>
        </w:rPr>
        <w:t xml:space="preserve"> friendly way to heat your home and domestic hot water with wood. </w:t>
      </w:r>
      <w:hyperlink r:id="rId8" w:tgtFrame="blank" w:tooltip="New Horizon Biomass Boilers Pricing and Description" w:history="1">
        <w:r w:rsidRPr="009E0832">
          <w:rPr>
            <w:rStyle w:val="Hyperlink"/>
            <w:rFonts w:ascii="Arial" w:hAnsi="Arial" w:cs="Arial"/>
            <w:sz w:val="28"/>
            <w:szCs w:val="28"/>
          </w:rPr>
          <w:t>Biomass boilers</w:t>
        </w:r>
      </w:hyperlink>
      <w:r w:rsidRPr="009E0832">
        <w:rPr>
          <w:rFonts w:ascii="Arial" w:hAnsi="Arial" w:cs="Arial"/>
          <w:color w:val="000000"/>
          <w:sz w:val="28"/>
          <w:szCs w:val="28"/>
        </w:rPr>
        <w:t xml:space="preserve"> assure the independence and self-reliance that heating with several different fuel options-wood, 50% coal/wood chips, saw dust, pellets and corn cobs with kernels. Because the boilers use wood gasification combustion, they give unusually high overall heating efficiency up to 91% and will hold heat from single load up to 12 hours. They use substantially less wood or other burning material than conventional boilers and outdoor water stoves with no visible smoke when fully operating. 91% efficiency </w:t>
      </w: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wood burning and gasification combustion boilers may be used for heating any kind of building. They are mostly used in one-family houses, drying houses, workshops, halls, or greenhouses. However, boiler placement is not limited to these applications; the above are just examples of where </w:t>
      </w: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boilers have worked with success. </w:t>
      </w:r>
    </w:p>
    <w:p w:rsidR="002C2D3E" w:rsidRPr="009E0832" w:rsidRDefault="002C2D3E" w:rsidP="002C2D3E">
      <w:pPr>
        <w:pStyle w:val="NormalWeb"/>
        <w:shd w:val="clear" w:color="auto" w:fill="E8E8E8"/>
        <w:rPr>
          <w:rFonts w:ascii="Arial" w:hAnsi="Arial" w:cs="Arial"/>
          <w:color w:val="000000"/>
          <w:sz w:val="28"/>
          <w:szCs w:val="28"/>
        </w:rPr>
      </w:pPr>
      <w:r w:rsidRPr="009E0832">
        <w:rPr>
          <w:rFonts w:ascii="Arial" w:hAnsi="Arial" w:cs="Arial"/>
          <w:color w:val="000000"/>
          <w:sz w:val="28"/>
          <w:szCs w:val="28"/>
        </w:rPr>
        <w:t xml:space="preserve">The </w:t>
      </w: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wood burning boilers has a large finned firebox and secondary combustion chamber maximize the burn time and minimize wood consumption. Easy adjustments to the automatic temperature control, secondary air regulator, and flue gas damper enhance fire maintenance. The </w:t>
      </w: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line uses negative draft technology which means that air is pulled, rather than pushed, through the gasification chamber. This design keeps any emissions (smoke) from exiting the chamber while refueling the boiler. </w:t>
      </w: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100 Gasification Boilers are an ecological and efficient source of heat for closed pressurized or open radiant systems.</w:t>
      </w:r>
    </w:p>
    <w:p w:rsidR="002C2D3E" w:rsidRPr="009E0832" w:rsidRDefault="002C2D3E" w:rsidP="002C2D3E">
      <w:pPr>
        <w:pStyle w:val="NormalWeb"/>
        <w:shd w:val="clear" w:color="auto" w:fill="E8E8E8"/>
        <w:rPr>
          <w:rFonts w:ascii="Arial" w:hAnsi="Arial" w:cs="Arial"/>
          <w:color w:val="000000"/>
          <w:sz w:val="28"/>
          <w:szCs w:val="28"/>
        </w:rPr>
      </w:pP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wood burning boilers extracts maximum heat form the fuel source for your system by using gasification process and secondary combustion, which results in complete practically emission free burning. </w:t>
      </w:r>
      <w:proofErr w:type="spellStart"/>
      <w:r w:rsidRPr="009E0832">
        <w:rPr>
          <w:rFonts w:ascii="Arial" w:hAnsi="Arial" w:cs="Arial"/>
          <w:color w:val="000000"/>
          <w:sz w:val="28"/>
          <w:szCs w:val="28"/>
        </w:rPr>
        <w:t>BioMass</w:t>
      </w:r>
      <w:proofErr w:type="spellEnd"/>
      <w:r w:rsidRPr="009E0832">
        <w:rPr>
          <w:rFonts w:ascii="Arial" w:hAnsi="Arial" w:cs="Arial"/>
          <w:color w:val="000000"/>
          <w:sz w:val="28"/>
          <w:szCs w:val="28"/>
        </w:rPr>
        <w:t xml:space="preserve"> boilers come with a new digital programmable controller, RK2001, which allows for customization of the operation.</w:t>
      </w:r>
    </w:p>
    <w:p w:rsidR="00C974E6" w:rsidRPr="002C2D3E" w:rsidRDefault="00C974E6" w:rsidP="002C2D3E">
      <w:pPr>
        <w:tabs>
          <w:tab w:val="left" w:pos="1680"/>
        </w:tabs>
      </w:pPr>
    </w:p>
    <w:sectPr w:rsidR="00C974E6" w:rsidRPr="002C2D3E" w:rsidSect="009E083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D3E" w:rsidRDefault="002C2D3E" w:rsidP="002C2D3E">
      <w:pPr>
        <w:spacing w:after="0" w:line="240" w:lineRule="auto"/>
      </w:pPr>
      <w:r>
        <w:separator/>
      </w:r>
    </w:p>
  </w:endnote>
  <w:endnote w:type="continuationSeparator" w:id="0">
    <w:p w:rsidR="002C2D3E" w:rsidRDefault="002C2D3E" w:rsidP="002C2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D3E" w:rsidRDefault="002C2D3E" w:rsidP="002C2D3E">
      <w:pPr>
        <w:spacing w:after="0" w:line="240" w:lineRule="auto"/>
      </w:pPr>
      <w:r>
        <w:separator/>
      </w:r>
    </w:p>
  </w:footnote>
  <w:footnote w:type="continuationSeparator" w:id="0">
    <w:p w:rsidR="002C2D3E" w:rsidRDefault="002C2D3E" w:rsidP="002C2D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D3E" w:rsidRPr="009E0832" w:rsidRDefault="002C2D3E">
    <w:pPr>
      <w:pStyle w:val="Header"/>
      <w:rPr>
        <w:sz w:val="32"/>
        <w:szCs w:val="32"/>
      </w:rPr>
    </w:pPr>
    <w:r w:rsidRPr="009E0832">
      <w:rPr>
        <w:rFonts w:ascii="Arial" w:hAnsi="Arial" w:cs="Arial"/>
        <w:bCs/>
        <w:kern w:val="36"/>
        <w:sz w:val="32"/>
        <w:szCs w:val="32"/>
      </w:rPr>
      <w:t xml:space="preserve">New Horizon Corp. </w:t>
    </w:r>
    <w:proofErr w:type="spellStart"/>
    <w:r w:rsidRPr="009E0832">
      <w:rPr>
        <w:rFonts w:ascii="Arial" w:hAnsi="Arial" w:cs="Arial"/>
        <w:bCs/>
        <w:kern w:val="36"/>
        <w:sz w:val="32"/>
        <w:szCs w:val="32"/>
      </w:rPr>
      <w:t>BioMass</w:t>
    </w:r>
    <w:proofErr w:type="spellEnd"/>
    <w:r w:rsidRPr="009E0832">
      <w:rPr>
        <w:rFonts w:ascii="Arial" w:hAnsi="Arial" w:cs="Arial"/>
        <w:bCs/>
        <w:kern w:val="36"/>
        <w:sz w:val="32"/>
        <w:szCs w:val="32"/>
      </w:rPr>
      <w:t xml:space="preserve"> 100 High Efficiency Wood/Coal Burning Gasification Boiler 91% -340,000BT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D3E"/>
    <w:rsid w:val="002C2D3E"/>
    <w:rsid w:val="009571BD"/>
    <w:rsid w:val="009E0832"/>
    <w:rsid w:val="00C9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D3E"/>
    <w:rPr>
      <w:rFonts w:ascii="Tahoma" w:hAnsi="Tahoma" w:cs="Tahoma"/>
      <w:sz w:val="16"/>
      <w:szCs w:val="16"/>
    </w:rPr>
  </w:style>
  <w:style w:type="paragraph" w:styleId="Header">
    <w:name w:val="header"/>
    <w:basedOn w:val="Normal"/>
    <w:link w:val="HeaderChar"/>
    <w:uiPriority w:val="99"/>
    <w:unhideWhenUsed/>
    <w:rsid w:val="002C2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D3E"/>
  </w:style>
  <w:style w:type="paragraph" w:styleId="Footer">
    <w:name w:val="footer"/>
    <w:basedOn w:val="Normal"/>
    <w:link w:val="FooterChar"/>
    <w:uiPriority w:val="99"/>
    <w:unhideWhenUsed/>
    <w:rsid w:val="002C2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D3E"/>
  </w:style>
  <w:style w:type="character" w:styleId="Hyperlink">
    <w:name w:val="Hyperlink"/>
    <w:basedOn w:val="DefaultParagraphFont"/>
    <w:uiPriority w:val="99"/>
    <w:semiHidden/>
    <w:unhideWhenUsed/>
    <w:rsid w:val="002C2D3E"/>
    <w:rPr>
      <w:strike w:val="0"/>
      <w:dstrike w:val="0"/>
      <w:color w:val="000000"/>
      <w:u w:val="none"/>
      <w:effect w:val="none"/>
    </w:rPr>
  </w:style>
  <w:style w:type="paragraph" w:styleId="NormalWeb">
    <w:name w:val="Normal (Web)"/>
    <w:basedOn w:val="Normal"/>
    <w:uiPriority w:val="99"/>
    <w:semiHidden/>
    <w:unhideWhenUsed/>
    <w:rsid w:val="002C2D3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D3E"/>
    <w:rPr>
      <w:rFonts w:ascii="Tahoma" w:hAnsi="Tahoma" w:cs="Tahoma"/>
      <w:sz w:val="16"/>
      <w:szCs w:val="16"/>
    </w:rPr>
  </w:style>
  <w:style w:type="paragraph" w:styleId="Header">
    <w:name w:val="header"/>
    <w:basedOn w:val="Normal"/>
    <w:link w:val="HeaderChar"/>
    <w:uiPriority w:val="99"/>
    <w:unhideWhenUsed/>
    <w:rsid w:val="002C2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D3E"/>
  </w:style>
  <w:style w:type="paragraph" w:styleId="Footer">
    <w:name w:val="footer"/>
    <w:basedOn w:val="Normal"/>
    <w:link w:val="FooterChar"/>
    <w:uiPriority w:val="99"/>
    <w:unhideWhenUsed/>
    <w:rsid w:val="002C2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D3E"/>
  </w:style>
  <w:style w:type="character" w:styleId="Hyperlink">
    <w:name w:val="Hyperlink"/>
    <w:basedOn w:val="DefaultParagraphFont"/>
    <w:uiPriority w:val="99"/>
    <w:semiHidden/>
    <w:unhideWhenUsed/>
    <w:rsid w:val="002C2D3E"/>
    <w:rPr>
      <w:strike w:val="0"/>
      <w:dstrike w:val="0"/>
      <w:color w:val="000000"/>
      <w:u w:val="none"/>
      <w:effect w:val="none"/>
    </w:rPr>
  </w:style>
  <w:style w:type="paragraph" w:styleId="NormalWeb">
    <w:name w:val="Normal (Web)"/>
    <w:basedOn w:val="Normal"/>
    <w:uiPriority w:val="99"/>
    <w:semiHidden/>
    <w:unhideWhenUsed/>
    <w:rsid w:val="002C2D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719070">
      <w:bodyDiv w:val="1"/>
      <w:marLeft w:val="0"/>
      <w:marRight w:val="0"/>
      <w:marTop w:val="0"/>
      <w:marBottom w:val="0"/>
      <w:divBdr>
        <w:top w:val="none" w:sz="0" w:space="0" w:color="auto"/>
        <w:left w:val="none" w:sz="0" w:space="0" w:color="auto"/>
        <w:bottom w:val="none" w:sz="0" w:space="0" w:color="auto"/>
        <w:right w:val="none" w:sz="0" w:space="0" w:color="auto"/>
      </w:divBdr>
      <w:divsChild>
        <w:div w:id="961569683">
          <w:marLeft w:val="0"/>
          <w:marRight w:val="0"/>
          <w:marTop w:val="150"/>
          <w:marBottom w:val="0"/>
          <w:divBdr>
            <w:top w:val="none" w:sz="0" w:space="0" w:color="auto"/>
            <w:left w:val="none" w:sz="0" w:space="0" w:color="auto"/>
            <w:bottom w:val="none" w:sz="0" w:space="0" w:color="auto"/>
            <w:right w:val="none" w:sz="0" w:space="0" w:color="auto"/>
          </w:divBdr>
          <w:divsChild>
            <w:div w:id="11957757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17268393">
      <w:bodyDiv w:val="1"/>
      <w:marLeft w:val="0"/>
      <w:marRight w:val="0"/>
      <w:marTop w:val="0"/>
      <w:marBottom w:val="0"/>
      <w:divBdr>
        <w:top w:val="none" w:sz="0" w:space="0" w:color="auto"/>
        <w:left w:val="none" w:sz="0" w:space="0" w:color="auto"/>
        <w:bottom w:val="none" w:sz="0" w:space="0" w:color="auto"/>
        <w:right w:val="none" w:sz="0" w:space="0" w:color="auto"/>
      </w:divBdr>
      <w:divsChild>
        <w:div w:id="827207970">
          <w:marLeft w:val="0"/>
          <w:marRight w:val="0"/>
          <w:marTop w:val="150"/>
          <w:marBottom w:val="0"/>
          <w:divBdr>
            <w:top w:val="none" w:sz="0" w:space="0" w:color="auto"/>
            <w:left w:val="none" w:sz="0" w:space="0" w:color="auto"/>
            <w:bottom w:val="none" w:sz="0" w:space="0" w:color="auto"/>
            <w:right w:val="none" w:sz="0" w:space="0" w:color="auto"/>
          </w:divBdr>
          <w:divsChild>
            <w:div w:id="59136956">
              <w:marLeft w:val="225"/>
              <w:marRight w:val="0"/>
              <w:marTop w:val="0"/>
              <w:marBottom w:val="0"/>
              <w:divBdr>
                <w:top w:val="single" w:sz="6" w:space="12" w:color="FFFFFF"/>
                <w:left w:val="none" w:sz="0" w:space="0" w:color="auto"/>
                <w:bottom w:val="none" w:sz="0" w:space="0" w:color="auto"/>
                <w:right w:val="none" w:sz="0" w:space="0" w:color="auto"/>
              </w:divBdr>
            </w:div>
          </w:divsChild>
        </w:div>
      </w:divsChild>
    </w:div>
    <w:div w:id="2099985243">
      <w:bodyDiv w:val="1"/>
      <w:marLeft w:val="0"/>
      <w:marRight w:val="0"/>
      <w:marTop w:val="0"/>
      <w:marBottom w:val="0"/>
      <w:divBdr>
        <w:top w:val="none" w:sz="0" w:space="0" w:color="auto"/>
        <w:left w:val="none" w:sz="0" w:space="0" w:color="auto"/>
        <w:bottom w:val="none" w:sz="0" w:space="0" w:color="auto"/>
        <w:right w:val="none" w:sz="0" w:space="0" w:color="auto"/>
      </w:divBdr>
      <w:divsChild>
        <w:div w:id="1332440815">
          <w:marLeft w:val="0"/>
          <w:marRight w:val="0"/>
          <w:marTop w:val="150"/>
          <w:marBottom w:val="0"/>
          <w:divBdr>
            <w:top w:val="none" w:sz="0" w:space="0" w:color="auto"/>
            <w:left w:val="none" w:sz="0" w:space="0" w:color="auto"/>
            <w:bottom w:val="none" w:sz="0" w:space="0" w:color="auto"/>
            <w:right w:val="none" w:sz="0" w:space="0" w:color="auto"/>
          </w:divBdr>
          <w:divsChild>
            <w:div w:id="1435634981">
              <w:marLeft w:val="0"/>
              <w:marRight w:val="0"/>
              <w:marTop w:val="0"/>
              <w:marBottom w:val="0"/>
              <w:divBdr>
                <w:top w:val="none" w:sz="0" w:space="0" w:color="auto"/>
                <w:left w:val="none" w:sz="0" w:space="0" w:color="auto"/>
                <w:bottom w:val="none" w:sz="0" w:space="0" w:color="auto"/>
                <w:right w:val="none" w:sz="0" w:space="0" w:color="auto"/>
              </w:divBdr>
            </w:div>
            <w:div w:id="617878784">
              <w:marLeft w:val="0"/>
              <w:marRight w:val="0"/>
              <w:marTop w:val="0"/>
              <w:marBottom w:val="0"/>
              <w:divBdr>
                <w:top w:val="single" w:sz="12" w:space="4" w:color="B6BAC0"/>
                <w:left w:val="single" w:sz="12" w:space="4" w:color="B6BAC0"/>
                <w:bottom w:val="single" w:sz="12" w:space="4" w:color="B6BAC0"/>
                <w:right w:val="single" w:sz="12" w:space="4" w:color="B6BAC0"/>
              </w:divBdr>
            </w:div>
            <w:div w:id="746540306">
              <w:marLeft w:val="0"/>
              <w:marRight w:val="0"/>
              <w:marTop w:val="105"/>
              <w:marBottom w:val="0"/>
              <w:divBdr>
                <w:top w:val="none" w:sz="0" w:space="0" w:color="auto"/>
                <w:left w:val="none" w:sz="0" w:space="0" w:color="auto"/>
                <w:bottom w:val="none" w:sz="0" w:space="0" w:color="auto"/>
                <w:right w:val="none" w:sz="0" w:space="0" w:color="auto"/>
              </w:divBdr>
            </w:div>
            <w:div w:id="455952779">
              <w:marLeft w:val="300"/>
              <w:marRight w:val="0"/>
              <w:marTop w:val="0"/>
              <w:marBottom w:val="0"/>
              <w:divBdr>
                <w:top w:val="none" w:sz="0" w:space="0" w:color="auto"/>
                <w:left w:val="none" w:sz="0" w:space="0" w:color="auto"/>
                <w:bottom w:val="none" w:sz="0" w:space="0" w:color="auto"/>
                <w:right w:val="none" w:sz="0" w:space="0" w:color="auto"/>
              </w:divBdr>
            </w:div>
            <w:div w:id="79985240">
              <w:marLeft w:val="-1530"/>
              <w:marRight w:val="0"/>
              <w:marTop w:val="0"/>
              <w:marBottom w:val="0"/>
              <w:divBdr>
                <w:top w:val="single" w:sz="48" w:space="8" w:color="B6BAC0"/>
                <w:left w:val="single" w:sz="48" w:space="8" w:color="B6BAC0"/>
                <w:bottom w:val="single" w:sz="48" w:space="8" w:color="B6BAC0"/>
                <w:right w:val="single" w:sz="48" w:space="8" w:color="B6BAC0"/>
              </w:divBdr>
              <w:divsChild>
                <w:div w:id="577832894">
                  <w:marLeft w:val="0"/>
                  <w:marRight w:val="0"/>
                  <w:marTop w:val="0"/>
                  <w:marBottom w:val="0"/>
                  <w:divBdr>
                    <w:top w:val="none" w:sz="0" w:space="0" w:color="auto"/>
                    <w:left w:val="none" w:sz="0" w:space="0" w:color="auto"/>
                    <w:bottom w:val="none" w:sz="0" w:space="0" w:color="auto"/>
                    <w:right w:val="none" w:sz="0" w:space="0" w:color="auto"/>
                  </w:divBdr>
                </w:div>
              </w:divsChild>
            </w:div>
            <w:div w:id="1466196562">
              <w:marLeft w:val="-1875"/>
              <w:marRight w:val="0"/>
              <w:marTop w:val="0"/>
              <w:marBottom w:val="0"/>
              <w:divBdr>
                <w:top w:val="single" w:sz="48" w:space="8" w:color="B6BAC0"/>
                <w:left w:val="single" w:sz="48" w:space="8" w:color="B6BAC0"/>
                <w:bottom w:val="single" w:sz="48" w:space="8" w:color="B6BAC0"/>
                <w:right w:val="single" w:sz="48" w:space="8" w:color="B6BAC0"/>
              </w:divBdr>
              <w:divsChild>
                <w:div w:id="530999362">
                  <w:marLeft w:val="0"/>
                  <w:marRight w:val="0"/>
                  <w:marTop w:val="0"/>
                  <w:marBottom w:val="0"/>
                  <w:divBdr>
                    <w:top w:val="none" w:sz="0" w:space="0" w:color="auto"/>
                    <w:left w:val="none" w:sz="0" w:space="0" w:color="auto"/>
                    <w:bottom w:val="none" w:sz="0" w:space="0" w:color="auto"/>
                    <w:right w:val="none" w:sz="0" w:space="0" w:color="auto"/>
                  </w:divBdr>
                </w:div>
              </w:divsChild>
            </w:div>
            <w:div w:id="1706828788">
              <w:marLeft w:val="0"/>
              <w:marRight w:val="-330"/>
              <w:marTop w:val="0"/>
              <w:marBottom w:val="0"/>
              <w:divBdr>
                <w:top w:val="none" w:sz="0" w:space="0" w:color="auto"/>
                <w:left w:val="none" w:sz="0" w:space="0" w:color="auto"/>
                <w:bottom w:val="none" w:sz="0" w:space="0" w:color="auto"/>
                <w:right w:val="none" w:sz="0" w:space="0" w:color="auto"/>
              </w:divBdr>
            </w:div>
            <w:div w:id="95102387">
              <w:marLeft w:val="0"/>
              <w:marRight w:val="0"/>
              <w:marTop w:val="0"/>
              <w:marBottom w:val="0"/>
              <w:divBdr>
                <w:top w:val="none" w:sz="0" w:space="0" w:color="auto"/>
                <w:left w:val="none" w:sz="0" w:space="0" w:color="auto"/>
                <w:bottom w:val="none" w:sz="0" w:space="0" w:color="auto"/>
                <w:right w:val="none" w:sz="0" w:space="0" w:color="auto"/>
              </w:divBdr>
            </w:div>
            <w:div w:id="289241806">
              <w:marLeft w:val="0"/>
              <w:marRight w:val="0"/>
              <w:marTop w:val="300"/>
              <w:marBottom w:val="0"/>
              <w:divBdr>
                <w:top w:val="none" w:sz="0" w:space="0" w:color="auto"/>
                <w:left w:val="none" w:sz="0" w:space="0" w:color="auto"/>
                <w:bottom w:val="none" w:sz="0" w:space="0" w:color="auto"/>
                <w:right w:val="none" w:sz="0" w:space="0" w:color="auto"/>
              </w:divBdr>
            </w:div>
            <w:div w:id="1565094344">
              <w:marLeft w:val="0"/>
              <w:marRight w:val="0"/>
              <w:marTop w:val="0"/>
              <w:marBottom w:val="0"/>
              <w:divBdr>
                <w:top w:val="none" w:sz="0" w:space="0" w:color="auto"/>
                <w:left w:val="none" w:sz="0" w:space="0" w:color="auto"/>
                <w:bottom w:val="none" w:sz="0" w:space="0" w:color="auto"/>
                <w:right w:val="none" w:sz="0" w:space="0" w:color="auto"/>
              </w:divBdr>
            </w:div>
            <w:div w:id="928731177">
              <w:marLeft w:val="0"/>
              <w:marRight w:val="0"/>
              <w:marTop w:val="0"/>
              <w:marBottom w:val="0"/>
              <w:divBdr>
                <w:top w:val="none" w:sz="0" w:space="0" w:color="auto"/>
                <w:left w:val="none" w:sz="0" w:space="0" w:color="auto"/>
                <w:bottom w:val="none" w:sz="0" w:space="0" w:color="auto"/>
                <w:right w:val="none" w:sz="0" w:space="0" w:color="auto"/>
              </w:divBdr>
            </w:div>
            <w:div w:id="2079857886">
              <w:marLeft w:val="0"/>
              <w:marRight w:val="0"/>
              <w:marTop w:val="0"/>
              <w:marBottom w:val="0"/>
              <w:divBdr>
                <w:top w:val="none" w:sz="0" w:space="0" w:color="auto"/>
                <w:left w:val="none" w:sz="0" w:space="0" w:color="auto"/>
                <w:bottom w:val="none" w:sz="0" w:space="0" w:color="auto"/>
                <w:right w:val="none" w:sz="0" w:space="0" w:color="auto"/>
              </w:divBdr>
            </w:div>
            <w:div w:id="1943801982">
              <w:marLeft w:val="225"/>
              <w:marRight w:val="0"/>
              <w:marTop w:val="0"/>
              <w:marBottom w:val="0"/>
              <w:divBdr>
                <w:top w:val="single" w:sz="6" w:space="12" w:color="FFFFFF"/>
                <w:left w:val="none" w:sz="0" w:space="0" w:color="auto"/>
                <w:bottom w:val="none" w:sz="0" w:space="0" w:color="auto"/>
                <w:right w:val="none" w:sz="0" w:space="0" w:color="auto"/>
              </w:divBdr>
              <w:divsChild>
                <w:div w:id="5595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mfortusa.com/advanced_search_result.php?keywords=biomass&amp;x=0&amp;y=0" TargetMode="Externa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2011-11-24T09:46:00Z</dcterms:created>
  <dcterms:modified xsi:type="dcterms:W3CDTF">2011-11-24T09:56:00Z</dcterms:modified>
</cp:coreProperties>
</file>