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joyfulness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28:47 Because thou servedst not the LORD thy God with joyfulness, and with gladness of heart, for the abundance of all things;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31:20 For when I shall have brought them into the land which I sware unto their fathers, that floweth with milk and honey; and they shall have eaten and filled themselves, and waxen fat; then will they turn unto other gods, and serve them, and provoke me, and break my covenant.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De 32:15 ¶ But Jeshurun waxed fat, and kicked: thou art waxen fat, thou art grown thick, thou art covered with fatness; then he forsook God which made him, and lightly esteemed the Rock of his salvation.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Ne 9:25 And they took strong cities, and a fat land, and possessed houses full of all goods, wells digged, vineyards, and oliveyards, and fruit trees in abundance: so they did eat, and were filled, and became fat, and delighted themselves in thy great goodness.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26 Nevertheless they were disobedient, and rebelled against thee, and cast thy law behind their backs, and slew thy prophets which testified against them to turn them to thee, and they wrought great provocations.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27 Therefore thou deliveredst them into the hand of their enemies, who vexed them: and in the time of their trouble, when they cried unto thee, thou heardest them from heaven; and according to thy manifold mercies thou gavest them saviours, who saved them out of the hand of their enemies.                                                                          28 But after they had rest, they did evil again before thee: therefore leftest thou them in the hand of their enemies, so that they had the dominion over them: yet when they returned, and cried unto thee, thou heardest them from heaven; and many times didst thou deliver them according to thy mercies;</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joyfulness.docx.docx</dc:title>
</cp:coreProperties>
</file>