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per·son·al·i·ty  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per·son·al·i·ty [pùrs’n állətee]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(plural per·son·al·i·ties)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n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1.  somebody’s set of characteristics: the totality of somebody’s attitudes, interests, behavioral patterns, emotional responses, social roles, and other individual traits that endure over long periods of time 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2.  characteristics making somebody appealing: the distinctive or very noticeable characteristics that make somebody socially appealing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a partner with real personality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3.  somebody regarded as epitomizing traits: an individual regarded as epitomizing particular character traits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a difficult personality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4.  famous person: somebody who is famous, especially an entertainer or a sportsperson 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5.  unusual person: somebody who is very unusual and distinctive 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6.  quality of being a person: the quality of existing as a person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Do you think that computers will ever achieve personality?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7.  personal comment: a personal comment or observation, especially one that might be considered offensive (often used in the plural)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Let’s not get into personalities.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8.  distinguishing characteristics: the distinguishing characteristics of a place or situation 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Encarta ® World English Dictionary © &amp; (P) 1998-2004 Microsoft Corporation. All rights reserved.</w:t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Times New Roman" w:ascii="Times New Roman" w:hAnsi="Times New Roman" w:cs="Times New Roman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sz w:val="22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personality.doc.docx</dc:title>
</cp:coreProperties>
</file>