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Psalm 1 — Cold-eye ATU baseline</w:t>
      </w:r>
    </w:p>
    <w:p>
      <w:r>
        <w:rPr>
          <w:i/>
          <w:sz w:val="20"/>
        </w:rPr>
        <w:t>Cold-eye protocol: mark ATU boundaries on the HEBREW line by inserting a forward slash (//) or a line break between adjacent words where you judge one complete thought ends and another begins. Do NOT consult any prior rendering, the v2/heb file, the minimal-rubric notes, or the constraint catalog. Segment from the text alone, using your current judgment of where an ATU begins and ends.</w:t>
      </w:r>
    </w:p>
    <w:p/>
    <w:p>
      <w:pPr>
        <w:pStyle w:val="Heading3"/>
        <w:spacing w:before="240" w:after="80"/>
      </w:pPr>
      <w:r>
        <w:t>1:1</w:t>
      </w:r>
    </w:p>
    <w:p>
      <w:pPr>
        <w:jc w:val="right"/>
        <w:bidi/>
      </w:pPr>
      <w:r>
        <w:rPr>
          <w:rFonts w:ascii="David" w:hAnsi="David"/>
          <w:rFonts w:cs="David" w:hAnsi="David"/>
          <w:sz w:val="36"/>
          <w:rtl/>
        </w:rPr>
        <w:t>אַ֥שְֽׁרֵי־הָאִ֗ישׁ אֲשֶׁ֤ר׀ לֹ֥א הָלַךְ֮ בַּעֲצַ֪ת רְשָׁ֫עִ֥ים וּבְדֶ֣רֶךְ חַ֭טָּאִים לֹ֥א עָמָ֑ד וּבְמוֹשַׁ֥ב לֵ֝צִ֗ים לֹ֣א יָשָֽׁב׃</w:t>
      </w:r>
    </w:p>
    <w:p>
      <w:r>
        <w:rPr>
          <w:i/>
          <w:color w:val="555555"/>
          <w:sz w:val="22"/>
        </w:rPr>
        <w:t>ashrei ha'ish asher lo halakh ba'atzat resha'im uvederekh chata'im lo amad uvemoshav letzim lo yashav</w:t>
      </w:r>
    </w:p>
    <w:p>
      <w:r>
        <w:rPr>
          <w:sz w:val="22"/>
        </w:rPr>
        <w:t>Blessed is the man that walketh not in the counsel of the ungodly, nor standeth in the way of sinners, nor sitteth in the seat of the scornful.</w:t>
      </w:r>
    </w:p>
    <w:p/>
    <w:p>
      <w:pPr>
        <w:pStyle w:val="Heading3"/>
        <w:spacing w:before="240" w:after="80"/>
      </w:pPr>
      <w:r>
        <w:t>1:2</w:t>
      </w:r>
    </w:p>
    <w:p>
      <w:pPr>
        <w:jc w:val="right"/>
        <w:bidi/>
      </w:pPr>
      <w:r>
        <w:rPr>
          <w:rFonts w:ascii="David" w:hAnsi="David"/>
          <w:rFonts w:cs="David" w:hAnsi="David"/>
          <w:sz w:val="36"/>
          <w:rtl/>
        </w:rPr>
        <w:t>כִּ֤י אִ֥ם בְּתוֹרַ֥ת יְהוָ֗ה חֶ֫פְצ֥וֹ וּֽבְתוֹרָת֥וֹ יֶהְגֶּ֗ה יוֹמָ֥ם וָלָֽיְלָה׃</w:t>
      </w:r>
    </w:p>
    <w:p>
      <w:r>
        <w:rPr>
          <w:i/>
          <w:color w:val="555555"/>
          <w:sz w:val="22"/>
        </w:rPr>
        <w:t>ki im betorat Yahweh cheftzo uvetorato yehgeh yomam valayelah</w:t>
      </w:r>
    </w:p>
    <w:p>
      <w:r>
        <w:rPr>
          <w:sz w:val="22"/>
        </w:rPr>
        <w:t>But his delight is in the law of the LORD; and in his law doth he meditate day and night.</w:t>
      </w:r>
    </w:p>
    <w:p/>
    <w:p>
      <w:pPr>
        <w:pStyle w:val="Heading3"/>
        <w:spacing w:before="240" w:after="80"/>
      </w:pPr>
      <w:r>
        <w:t>1:3</w:t>
      </w:r>
    </w:p>
    <w:p>
      <w:pPr>
        <w:jc w:val="right"/>
        <w:bidi/>
      </w:pPr>
      <w:r>
        <w:rPr>
          <w:rFonts w:ascii="David" w:hAnsi="David"/>
          <w:rFonts w:cs="David" w:hAnsi="David"/>
          <w:sz w:val="36"/>
          <w:rtl/>
        </w:rPr>
        <w:t>וְֽהָיָ֗ה כְּעֵץ֮ שָׁת֪וּל עַֽל־פַּלְגֵ֫י מָ֥יִם אֲשֶׁ֤ר פִּרְי֨וֹ׀ יִתֵּ֬ן בְּעִתּ֗וֹ וְעָלֵ֥הוּ לֹֽא־יִבּ֑וֹל וְכֹ֖ל אֲשֶׁר־יַעֲשֶׂ֣ה יַצְלִֽיחַ׃</w:t>
      </w:r>
    </w:p>
    <w:p>
      <w:r>
        <w:rPr>
          <w:i/>
          <w:color w:val="555555"/>
          <w:sz w:val="22"/>
        </w:rPr>
        <w:t>vehayah ke'etz shatul al palgei mayim asher piryo yiten be'ito ve'alehu lo yibol vekhol asher ya'aseh yatzliach</w:t>
      </w:r>
    </w:p>
    <w:p>
      <w:r>
        <w:rPr>
          <w:sz w:val="22"/>
        </w:rPr>
        <w:t>And he shall be like a tree planted by the rivers of water, that bringeth forth his fruit in his season; his leaf also shall not wither; and whatsoever he doeth shall prosper.</w:t>
      </w:r>
    </w:p>
    <w:p/>
    <w:p>
      <w:pPr>
        <w:pStyle w:val="Heading3"/>
        <w:spacing w:before="240" w:after="80"/>
      </w:pPr>
      <w:r>
        <w:t>1:4</w:t>
      </w:r>
    </w:p>
    <w:p>
      <w:pPr>
        <w:jc w:val="right"/>
        <w:bidi/>
      </w:pPr>
      <w:r>
        <w:rPr>
          <w:rFonts w:ascii="David" w:hAnsi="David"/>
          <w:rFonts w:cs="David" w:hAnsi="David"/>
          <w:sz w:val="36"/>
          <w:rtl/>
        </w:rPr>
        <w:t>לֹא־כֵ֥ן הָרְשָׁעִ֑ים כִּ֥י אִם־כַּ֝מֹּ֗ץ אֲֽשֶׁר־תִּדְּפֶ֥נּוּ רֽוּחַ׃</w:t>
      </w:r>
    </w:p>
    <w:p>
      <w:r>
        <w:rPr>
          <w:i/>
          <w:color w:val="555555"/>
          <w:sz w:val="22"/>
        </w:rPr>
        <w:t>lo khen haresha'im ki im kamotz asher tidefenu ruach</w:t>
      </w:r>
    </w:p>
    <w:p>
      <w:r>
        <w:rPr>
          <w:sz w:val="22"/>
        </w:rPr>
        <w:t>The ungodly are not so: but are like the chaff which the wind driveth away.</w:t>
      </w:r>
    </w:p>
    <w:p/>
    <w:p>
      <w:pPr>
        <w:pStyle w:val="Heading3"/>
        <w:spacing w:before="240" w:after="80"/>
      </w:pPr>
      <w:r>
        <w:t>1:5</w:t>
      </w:r>
    </w:p>
    <w:p>
      <w:pPr>
        <w:jc w:val="right"/>
        <w:bidi/>
      </w:pPr>
      <w:r>
        <w:rPr>
          <w:rFonts w:ascii="David" w:hAnsi="David"/>
          <w:rFonts w:cs="David" w:hAnsi="David"/>
          <w:sz w:val="36"/>
          <w:rtl/>
        </w:rPr>
        <w:t>עַל־כֵּ֤ן׀ לֹא־יָקֻ֣מוּ רְ֭שָׁעִים בַּמִּשְׁפָּ֑ט וְ֝חַטָּאִ֗ים בַּעֲדַ֥ת צַדִּיקִֽים׃</w:t>
      </w:r>
    </w:p>
    <w:p>
      <w:r>
        <w:rPr>
          <w:i/>
          <w:color w:val="555555"/>
          <w:sz w:val="22"/>
        </w:rPr>
        <w:t>al ken lo yakumu resha'im bamishpat vechata'im ba'adat tzadikim</w:t>
      </w:r>
    </w:p>
    <w:p>
      <w:r>
        <w:rPr>
          <w:sz w:val="22"/>
        </w:rPr>
        <w:t>Therefore the ungodly shall not stand in the judgment, nor sinners in the congregation of the righteous.</w:t>
      </w:r>
    </w:p>
    <w:p/>
    <w:p>
      <w:pPr>
        <w:pStyle w:val="Heading3"/>
        <w:spacing w:before="240" w:after="80"/>
      </w:pPr>
      <w:r>
        <w:t>1:6</w:t>
      </w:r>
    </w:p>
    <w:p>
      <w:pPr>
        <w:jc w:val="right"/>
        <w:bidi/>
      </w:pPr>
      <w:r>
        <w:rPr>
          <w:rFonts w:ascii="David" w:hAnsi="David"/>
          <w:rFonts w:cs="David" w:hAnsi="David"/>
          <w:sz w:val="36"/>
          <w:rtl/>
        </w:rPr>
        <w:t>כִּֽי־יוֹדֵ֣עַ יְ֭הוָה דֶּ֣רֶךְ צַדִּיקִ֑ים וְדֶ֖רֶךְ רְשָׁעִ֣ים תֹּאבֵֽד׃</w:t>
      </w:r>
    </w:p>
    <w:p>
      <w:r>
        <w:rPr>
          <w:i/>
          <w:color w:val="555555"/>
          <w:sz w:val="22"/>
        </w:rPr>
        <w:t>ki yodea Yahweh derekh tzadikim vederekh resha'im toved</w:t>
      </w:r>
    </w:p>
    <w:p>
      <w:r>
        <w:rPr>
          <w:sz w:val="22"/>
        </w:rPr>
        <w:t>For the LORD knoweth the way of the righteous: but the way of the ungodly shall perish.</w:t>
      </w:r>
    </w:p>
    <w:p/>
    <w:sectPr w:rsidR="00FC693F" w:rsidRPr="0006063C" w:rsidSect="00034616">
      <w:pgSz w:w="12240" w:h="15840"/>
      <w:pgMar w:top="1080" w:right="108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