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c102d8de2d73b90aefcb1cc3105d55f54a7bc0a"/>
    <w:p>
      <w:pPr>
        <w:pStyle w:val="Heading1"/>
      </w:pPr>
      <w:r>
        <w:t xml:space="preserve">Visa2AU Website Redesign — Final Build Brief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 (approved for build — adds site search, voice AI assistant, expanded original iconography)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17 July 2026 (v1.2, same day)</w:t>
      </w:r>
      <w:r>
        <w:t xml:space="preserve"> </w:t>
      </w:r>
      <w:r>
        <w:rPr>
          <w:bCs/>
          <w:b/>
        </w:rPr>
        <w:t xml:space="preserve">Client:</w:t>
      </w:r>
      <w:r>
        <w:t xml:space="preserve"> </w:t>
      </w:r>
      <w:r>
        <w:t xml:space="preserve">Visa2AU Pty Ltd (ABN 36676512397)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t xml:space="preserve">visa2.au — DNS already on Cloudflare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Requirements locked. Ready for implementation.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complete rebuild of the Visa2AU website as a fast, multilingual, Cloudflare-native platform owned end-to-end by the client. The new site replaces the sealed Kimi 2.7 page-builder output (which could not be fixed, extended, or self-hosted) with a real codebase in the client’s Git repository, deployed to the client’s Cloudflare account.</w:t>
      </w:r>
    </w:p>
    <w:p>
      <w:pPr>
        <w:pStyle w:val="BodyText"/>
      </w:pPr>
      <w:r>
        <w:t xml:space="preserve">The design language fuses a restrained, original dot-art motif system (</w:t>
      </w:r>
      <w:r>
        <w:t xml:space="preserve">“</w:t>
      </w:r>
      <w:r>
        <w:t xml:space="preserve">songlines</w:t>
      </w:r>
      <w:r>
        <w:t xml:space="preserve">”</w:t>
      </w:r>
      <w:r>
        <w:t xml:space="preserve">) with modern Australian imagery — professional first, decorative second — across matched light (</w:t>
      </w:r>
      <w:r>
        <w:t xml:space="preserve">“</w:t>
      </w:r>
      <w:r>
        <w:t xml:space="preserve">Day</w:t>
      </w:r>
      <w:r>
        <w:t xml:space="preserve">”</w:t>
      </w:r>
      <w:r>
        <w:t xml:space="preserve">) and dark (</w:t>
      </w:r>
      <w:r>
        <w:t xml:space="preserve">“</w:t>
      </w:r>
      <w:r>
        <w:t xml:space="preserve">Night</w:t>
      </w:r>
      <w:r>
        <w:t xml:space="preserve">”</w:t>
      </w:r>
      <w:r>
        <w:t xml:space="preserve">) themes with dedicated hero video cuts for each. The site is content-rich and detail-oriented: every visa page is a structured journey map with transparent costs and FAQ schema, built to rank in Google and to be quoted by AI assistants.</w:t>
      </w:r>
    </w:p>
    <w:p>
      <w:pPr>
        <w:pStyle w:val="BodyText"/>
      </w:pPr>
      <w:r>
        <w:t xml:space="preserve">Scope at launch: full visa hub library, interactive Pathway Finder, command-palette site search (retained from v2.7), ElevenLabs voice AI assistant in 27+ languages, blog on TinaCMS, invoice payment page (/pay) with disclosed 4.55% international card fee, donations page, branded video consultation lobby (/video) on Daily.co, and EN/RU/FR language architecture.</w:t>
      </w:r>
    </w:p>
    <w:p>
      <w:r>
        <w:pict>
          <v:rect style="width:0;height:1.5pt" o:hralign="center" o:hrstd="t" o:hr="t"/>
        </w:pict>
      </w:r>
    </w:p>
    <w:bookmarkEnd w:id="20"/>
    <w:bookmarkStart w:id="23" w:name="background-lessons-from-v2.7"/>
    <w:p>
      <w:pPr>
        <w:pStyle w:val="Heading2"/>
      </w:pPr>
      <w:r>
        <w:t xml:space="preserve">2. Background &amp; Lessons from v2.7</w:t>
      </w:r>
    </w:p>
    <w:bookmarkStart w:id="21" w:name="what-the-audit-of-the-current-site-found"/>
    <w:p>
      <w:pPr>
        <w:pStyle w:val="Heading3"/>
      </w:pPr>
      <w:r>
        <w:t xml:space="preserve">2.1 What the audit of the current site found</w:t>
      </w:r>
    </w:p>
    <w:p>
      <w:pPr>
        <w:pStyle w:val="FirstParagraph"/>
      </w:pPr>
      <w:r>
        <w:t xml:space="preserve">The current site (built with Kimi 2.7, hosted on kimi.page) has a strong content foundation — a comprehensive visa inventory, FAQ content, trust data, and team structure — but suffers from platform-imposed defects reported by the owner and confirmed by audit: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Unfixable layout defects</w:t>
      </w:r>
      <w:r>
        <w:t xml:space="preserve"> </w:t>
      </w:r>
      <w:r>
        <w:t xml:space="preserve">— overlapping elements (e.g. language selector obscured by buttons); the sealed builder offers no access to fix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Footer links that cannot be embedded</w:t>
      </w:r>
      <w:r>
        <w:t xml:space="preserve"> </w:t>
      </w:r>
      <w:r>
        <w:t xml:space="preserve">— platform limitation.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Duplicated funnel sections</w:t>
      </w:r>
      <w:r>
        <w:t xml:space="preserve"> </w:t>
      </w:r>
      <w:r>
        <w:t xml:space="preserve">— contact and CTA blocks repeated without logic, diluting conversion.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Conversion leak</w:t>
      </w:r>
      <w:r>
        <w:t xml:space="preserve"> </w:t>
      </w:r>
      <w:r>
        <w:t xml:space="preserve">— the primary</w:t>
      </w:r>
      <w:r>
        <w:t xml:space="preserve"> </w:t>
      </w:r>
      <w:r>
        <w:t xml:space="preserve">“</w:t>
      </w:r>
      <w:r>
        <w:t xml:space="preserve">Free Visa Assessment</w:t>
      </w:r>
      <w:r>
        <w:t xml:space="preserve">”</w:t>
      </w:r>
      <w:r>
        <w:t xml:space="preserve"> </w:t>
      </w:r>
      <w:r>
        <w:t xml:space="preserve">CTA sends visitors off-domain to visa2au.mmportal.cloud.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Dark-only design</w:t>
      </w:r>
      <w:r>
        <w:t xml:space="preserve"> </w:t>
      </w:r>
      <w:r>
        <w:t xml:space="preserve">with a hero headline (</w:t>
      </w:r>
      <w:r>
        <w:t xml:space="preserve">“</w:t>
      </w:r>
      <w:r>
        <w:t xml:space="preserve">2025–2026</w:t>
      </w:r>
      <w:r>
        <w:t xml:space="preserve">”</w:t>
      </w:r>
      <w:r>
        <w:t xml:space="preserve">) that expires.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 weaknesses</w:t>
      </w:r>
      <w:r>
        <w:t xml:space="preserve"> </w:t>
      </w:r>
      <w:r>
        <w:t xml:space="preserve">and no hero video, no payment page, no video consultation page.</w:t>
      </w:r>
    </w:p>
    <w:bookmarkEnd w:id="21"/>
    <w:bookmarkStart w:id="22" w:name="the-governing-principle-of-the-rebuild"/>
    <w:p>
      <w:pPr>
        <w:pStyle w:val="Heading3"/>
      </w:pPr>
      <w:r>
        <w:t xml:space="preserve">2.2 The governing principle of the rebuild</w:t>
      </w:r>
    </w:p>
    <w:p>
      <w:pPr>
        <w:pStyle w:val="FirstParagraph"/>
      </w:pPr>
      <w:r>
        <w:rPr>
          <w:bCs/>
          <w:b/>
        </w:rPr>
        <w:t xml:space="preserve">Ownership.</w:t>
      </w:r>
      <w:r>
        <w:t xml:space="preserve"> </w:t>
      </w:r>
      <w:r>
        <w:t xml:space="preserve">Every pixel, link, and behaviour lives in client-owned code. Nothing is platform-locked. Any future developer (or AI agent) can fix or extend anything.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0e0e90259f4a6adc3fa65ae6471ab09c47c78d"/>
    <w:p>
      <w:pPr>
        <w:pStyle w:val="Heading2"/>
      </w:pPr>
      <w:r>
        <w:t xml:space="preserve">3. Design Concept:</w:t>
      </w:r>
      <w:r>
        <w:t xml:space="preserve"> </w:t>
      </w:r>
      <w:r>
        <w:t xml:space="preserve">“</w:t>
      </w:r>
      <w:r>
        <w:t xml:space="preserve">Your Songline to Australia</w:t>
      </w:r>
      <w:r>
        <w:t xml:space="preserve">”</w:t>
      </w:r>
    </w:p>
    <w:p>
      <w:pPr>
        <w:pStyle w:val="FirstParagraph"/>
      </w:pPr>
      <w:r>
        <w:t xml:space="preserve">In Aboriginal cultures, songlines are paths of knowledge across the land. The site’s central metaphor:</w:t>
      </w:r>
      <w:r>
        <w:t xml:space="preserve"> </w:t>
      </w:r>
      <w:r>
        <w:rPr>
          <w:bCs/>
          <w:b/>
        </w:rPr>
        <w:t xml:space="preserve">every visa journey is a songline</w:t>
      </w:r>
      <w:r>
        <w:t xml:space="preserve"> </w:t>
      </w:r>
      <w:r>
        <w:t xml:space="preserve">— a dotted path connecting milestones from first enquiry to grant.</w:t>
      </w:r>
    </w:p>
    <w:p>
      <w:pPr>
        <w:pStyle w:val="BodyText"/>
      </w:pPr>
      <w:r>
        <w:t xml:space="preserve">How the concept expresses itself: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travelling dotted path</w:t>
      </w:r>
      <w:r>
        <w:t xml:space="preserve"> </w:t>
      </w:r>
      <w:r>
        <w:t xml:space="preserve">animates down each page, connecting sections; on visa pages it becomes an explicit journey map (Eligibility → Skills Assessment → Nomination/Application → Grant).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Dot-particle hero</w:t>
      </w:r>
      <w:r>
        <w:t xml:space="preserve">: gold particles form the Australian coastline, then dissolve into the hero video.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Dot-art animal wayfinding icons</w:t>
      </w:r>
      <w:r>
        <w:t xml:space="preserve"> </w:t>
      </w:r>
      <w:r>
        <w:t xml:space="preserve">(original artwork, supplied by the client’s designer): kangaroo = skilled migration (the forward leap), koala = student visas, turtle = parent &amp; family visas (the long journey), star = citizenship.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Footer songline band</w:t>
      </w:r>
      <w:r>
        <w:t xml:space="preserve">: the designer’s navy-and-gold wave artwork becomes a living, subtly animated brand signature.</w:t>
      </w:r>
    </w:p>
    <w:p>
      <w:pPr>
        <w:pStyle w:val="FirstParagraph"/>
      </w:pPr>
      <w:r>
        <w:rPr>
          <w:bCs/>
          <w:b/>
        </w:rPr>
        <w:t xml:space="preserve">Cultural integrity (binding constraint):</w:t>
      </w:r>
      <w:r>
        <w:t xml:space="preserve"> </w:t>
      </w:r>
      <w:r>
        <w:t xml:space="preserve">all motifs are original, dot-</w:t>
      </w:r>
      <w:r>
        <w:rPr>
          <w:iCs/>
          <w:i/>
        </w:rPr>
        <w:t xml:space="preserve">inspired</w:t>
      </w:r>
      <w:r>
        <w:t xml:space="preserve"> </w:t>
      </w:r>
      <w:r>
        <w:t xml:space="preserve">designs commissioned/created for Visa2AU — no reproduction or imitation of specific Aboriginal artworks or clan styles (respecting Indigenous Cultural &amp; Intellectual Property). An</w:t>
      </w:r>
      <w:r>
        <w:t xml:space="preserve"> </w:t>
      </w:r>
      <w:r>
        <w:rPr>
          <w:bCs/>
          <w:b/>
        </w:rPr>
        <w:t xml:space="preserve">Acknowledgement of Country</w:t>
      </w:r>
      <w:r>
        <w:t xml:space="preserve"> </w:t>
      </w:r>
      <w:r>
        <w:t xml:space="preserve">appears in the footer of every page.</w:t>
      </w:r>
    </w:p>
    <w:p>
      <w:r>
        <w:pict>
          <v:rect style="width:0;height:1.5pt" o:hralign="center" o:hrstd="t" o:hr="t"/>
        </w:pict>
      </w:r>
    </w:p>
    <w:bookmarkEnd w:id="24"/>
    <w:bookmarkStart w:id="29" w:name="brand-system"/>
    <w:p>
      <w:pPr>
        <w:pStyle w:val="Heading2"/>
      </w:pPr>
      <w:r>
        <w:t xml:space="preserve">4. Brand System</w:t>
      </w:r>
    </w:p>
    <w:bookmarkStart w:id="25" w:name="colour-palette"/>
    <w:p>
      <w:pPr>
        <w:pStyle w:val="Heading3"/>
      </w:pPr>
      <w:r>
        <w:t xml:space="preserve">4.1 Colour palette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#1A2744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Backgrounds (Night), headers, ink on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Cobalt 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#1E6BBB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Links, UI actions, interactive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#F0A000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CTA, highlights, songline glow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backgrounds, text on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Tint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#E8F0FA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section backgrounds,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Burnt Ochre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#C1622B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earth accent; sparing — badges, hover states, art details</w:t>
            </w:r>
          </w:p>
        </w:tc>
      </w:tr>
    </w:tbl>
    <w:p>
      <w:pPr>
        <w:pStyle w:val="BodyText"/>
      </w:pPr>
      <w:r>
        <w:t xml:space="preserve">Rationale: navy/cobalt/gold alone reads corporate; the ochre accent grounds the palette in the Australian landscape and warms the dot-art system. Ochre is used at ≤5% of visible colour.</w:t>
      </w:r>
    </w:p>
    <w:bookmarkEnd w:id="25"/>
    <w:bookmarkStart w:id="26" w:name="typography"/>
    <w:p>
      <w:pPr>
        <w:pStyle w:val="Heading3"/>
      </w:pPr>
      <w:r>
        <w:t xml:space="preserve">4.2 Typography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titles, section headings, key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Paragraphs, UI, forms,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 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tags, labels, visa subclass chips</w:t>
            </w:r>
          </w:p>
        </w:tc>
      </w:tr>
    </w:tbl>
    <w:p>
      <w:pPr>
        <w:pStyle w:val="BodyText"/>
      </w:pPr>
      <w:r>
        <w:t xml:space="preserve">Fonts are self-hosted, subset (EN/RU/FR glyph ranges),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, preloaded.</w:t>
      </w:r>
    </w:p>
    <w:bookmarkEnd w:id="26"/>
    <w:bookmarkStart w:id="27" w:name="logo"/>
    <w:p>
      <w:pPr>
        <w:pStyle w:val="Heading3"/>
      </w:pPr>
      <w:r>
        <w:t xml:space="preserve">4.3 Logo</w:t>
      </w:r>
    </w:p>
    <w:p>
      <w:pPr>
        <w:pStyle w:val="FirstParagraph"/>
      </w:pPr>
      <w:r>
        <w:t xml:space="preserve">Client-supplied vector logos:</w:t>
      </w:r>
      <w:r>
        <w:t xml:space="preserve"> </w:t>
      </w:r>
      <w:r>
        <w:rPr>
          <w:bCs/>
          <w:b/>
        </w:rPr>
        <w:t xml:space="preserve">white version</w:t>
      </w:r>
      <w:r>
        <w:t xml:space="preserve"> </w:t>
      </w:r>
      <w:r>
        <w:t xml:space="preserve">(for Night theme / navy backgrounds) and</w:t>
      </w:r>
      <w:r>
        <w:t xml:space="preserve"> </w:t>
      </w:r>
      <w:r>
        <w:rPr>
          <w:bCs/>
          <w:b/>
        </w:rPr>
        <w:t xml:space="preserve">blue version</w:t>
      </w:r>
      <w:r>
        <w:t xml:space="preserve"> </w:t>
      </w:r>
      <w:r>
        <w:t xml:space="preserve">(for Day theme), SVG, 700×250 viewBox. Theme-aware logo switching via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and the manual toggle. High-resolution raster versions exist in the client archive if needed.</w:t>
      </w:r>
    </w:p>
    <w:bookmarkEnd w:id="27"/>
    <w:bookmarkStart w:id="28" w:name="iconography-motif-library-expanded-v1.2"/>
    <w:p>
      <w:pPr>
        <w:pStyle w:val="Heading3"/>
      </w:pPr>
      <w:r>
        <w:t xml:space="preserve">4.4 Iconography &amp; motif library (expanded — v1.2)</w:t>
      </w:r>
    </w:p>
    <w:p>
      <w:pPr>
        <w:pStyle w:val="FirstParagraph"/>
      </w:pPr>
      <w:r>
        <w:t xml:space="preserve">The motif system is</w:t>
      </w:r>
      <w:r>
        <w:t xml:space="preserve"> </w:t>
      </w:r>
      <w:r>
        <w:rPr>
          <w:bCs/>
          <w:b/>
        </w:rPr>
        <w:t xml:space="preserve">not limited to supplied materials</w:t>
      </w:r>
      <w:r>
        <w:t xml:space="preserve"> </w:t>
      </w:r>
      <w:r>
        <w:t xml:space="preserve">— new original emblems are created in-house in the established style (Appendix A spec), using the designer’s kangaroo as the locked style reference. Every generated asset is cleaned, optimised, and registered in</w:t>
      </w:r>
      <w:r>
        <w:t xml:space="preserve"> </w:t>
      </w:r>
      <w:r>
        <w:rPr>
          <w:rStyle w:val="VerbatimChar"/>
        </w:rPr>
        <w:t xml:space="preserve">brand/asset-library.md</w:t>
      </w:r>
      <w:r>
        <w:t xml:space="preserve"> </w:t>
      </w:r>
      <w:r>
        <w:t xml:space="preserve">(name, usage, alt text) before use. No third-party stock icons enter the motif system.</w:t>
      </w:r>
    </w:p>
    <w:p>
      <w:pPr>
        <w:pStyle w:val="BodyText"/>
      </w:pPr>
      <w:r>
        <w:rPr>
          <w:bCs/>
          <w:b/>
        </w:rPr>
        <w:t xml:space="preserve">Tier 1 — Wayfinding emblems</w:t>
      </w:r>
      <w:r>
        <w:t xml:space="preserve"> </w:t>
      </w:r>
      <w:r>
        <w:t xml:space="preserve">(dot-art, one per visa family):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Kangaroo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forward leap (never walks backwards)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Skilled migration 189/190 · Skills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Settling into a new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500 · Training 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long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103 · Sponsored Parent 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Navigation, guidance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Citizenship · PR pathways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wattle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floral emblem, citizenship ceremonies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Citizenship accents · success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Songline heart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paths joining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820/801 · 309/100 · Prospective Marriage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Harbour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literal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Bridging visas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Arrival, world-famous 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600 · Work &amp; Holiday 417/462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Kookaburra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Australia’s storyteller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&amp; news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 and sanctuary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Waratah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NSW floral emblem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State-nominated 190 accents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Dotted briefcase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Skilled workers wanted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Employer-sponsored 482/494/186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Tier 2 — Section ornaments:</w:t>
      </w:r>
      <w:r>
        <w:t xml:space="preserve"> </w:t>
      </w:r>
      <w:r>
        <w:t xml:space="preserve">songline streams, dotted corner textures, wave bands, eucalyptus/leaves (supplied set + regenerated clean versions).</w:t>
      </w:r>
    </w:p>
    <w:p>
      <w:pPr>
        <w:pStyle w:val="BodyText"/>
      </w:pPr>
      <w:r>
        <w:rPr>
          <w:bCs/>
          <w:b/>
        </w:rPr>
        <w:t xml:space="preserve">Tier 3 — UI icons:</w:t>
      </w:r>
      <w:r>
        <w:t xml:space="preserve"> </w:t>
      </w:r>
      <w:r>
        <w:t xml:space="preserve">hand-crafted stroke SVGs (1.5 px stroke, gold/cobalt, paired with Mona Sans) for search, phone, mail, calendar, documents, checkmarks, arrows — crisp at any size, animatable, zero raster weight.</w:t>
      </w:r>
    </w:p>
    <w:p>
      <w:pPr>
        <w:pStyle w:val="BodyText"/>
      </w:pPr>
      <w:r>
        <w:rPr>
          <w:bCs/>
          <w:b/>
        </w:rPr>
        <w:t xml:space="preserve">Production pipeline (binding):</w:t>
      </w:r>
      <w:r>
        <w:t xml:space="preserve"> </w:t>
      </w:r>
      <w:r>
        <w:t xml:space="preserve">style-reference generation → transparent PNG → artefact cleanup → optimisation (inline SVG for ornaments; WebP/AVIF for illustrations) → registration in the asset library with alt text.</w:t>
      </w:r>
      <w:r>
        <w:t xml:space="preserve"> </w:t>
      </w:r>
      <w:r>
        <w:rPr>
          <w:bCs/>
          <w:b/>
        </w:rPr>
        <w:t xml:space="preserve">Backlog for future sections/posts:</w:t>
      </w:r>
      <w:r>
        <w:t xml:space="preserve"> </w:t>
      </w:r>
      <w:r>
        <w:t xml:space="preserve">emu (the kangaroo’s coat-of-arms partner —</w:t>
      </w:r>
      <w:r>
        <w:t xml:space="preserve"> </w:t>
      </w:r>
      <w:r>
        <w:t xml:space="preserve">“</w:t>
      </w:r>
      <w:r>
        <w:t xml:space="preserve">the country that only moves forward</w:t>
      </w:r>
      <w:r>
        <w:t xml:space="preserve">”</w:t>
      </w:r>
      <w:r>
        <w:t xml:space="preserve">), wombat, platypus, cockatoo, echidna, whale, Twelve Apostles, Flinders Street line-art, boab, banksia.</w:t>
      </w:r>
    </w:p>
    <w:p>
      <w:pPr>
        <w:pStyle w:val="BodyText"/>
      </w:pPr>
      <w:r>
        <w:t xml:space="preserve">All motifs remain original dot-</w:t>
      </w:r>
      <w:r>
        <w:rPr>
          <w:iCs/>
          <w:i/>
        </w:rPr>
        <w:t xml:space="preserve">inspired</w:t>
      </w:r>
      <w:r>
        <w:t xml:space="preserve"> </w:t>
      </w:r>
      <w:r>
        <w:t xml:space="preserve">work per the ICIP constraint in Section 3. Decorative motifs are implemented as inline SVG where possible and marked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ual-theme-system-motion-media"/>
    <w:p>
      <w:pPr>
        <w:pStyle w:val="Heading2"/>
      </w:pPr>
      <w:r>
        <w:t xml:space="preserve">5. Dual-Theme System, Motion &amp; Media</w:t>
      </w:r>
    </w:p>
    <w:bookmarkStart w:id="30" w:name="themes"/>
    <w:p>
      <w:pPr>
        <w:pStyle w:val="Heading3"/>
      </w:pPr>
      <w:r>
        <w:t xml:space="preserve">5.1 Themes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Day (light):</w:t>
      </w:r>
      <w:r>
        <w:t xml:space="preserve"> </w:t>
      </w:r>
      <w:r>
        <w:t xml:space="preserve">white/blue-tint surfaces, navy ink, cobalt actions, gold accents.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Night (dark):</w:t>
      </w:r>
      <w:r>
        <w:t xml:space="preserve"> </w:t>
      </w:r>
      <w:r>
        <w:t xml:space="preserve">deep navy surfaces, off-white text, glowing gold songlines.</w:t>
      </w:r>
    </w:p>
    <w:p>
      <w:pPr>
        <w:numPr>
          <w:ilvl w:val="0"/>
          <w:numId w:val="1003"/>
        </w:numPr>
        <w:pStyle w:val="Compact"/>
      </w:pPr>
      <w:r>
        <w:t xml:space="preserve">Default follows OS preference; manual toggle persists (localStorage); no flash-of-wrong-theme (inline theme script 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).</w:t>
      </w:r>
    </w:p>
    <w:bookmarkEnd w:id="30"/>
    <w:bookmarkStart w:id="31" w:name="hero-videos"/>
    <w:p>
      <w:pPr>
        <w:pStyle w:val="Heading3"/>
      </w:pPr>
      <w:r>
        <w:t xml:space="preserve">5.2 Hero videos</w:t>
      </w:r>
    </w:p>
    <w:p>
      <w:pPr>
        <w:numPr>
          <w:ilvl w:val="0"/>
          <w:numId w:val="1004"/>
        </w:numPr>
        <w:pStyle w:val="Compact"/>
      </w:pPr>
      <w:r>
        <w:t xml:space="preserve">Two matched cuts —</w:t>
      </w:r>
      <w:r>
        <w:t xml:space="preserve"> </w:t>
      </w:r>
      <w:r>
        <w:rPr>
          <w:bCs/>
          <w:b/>
        </w:rPr>
        <w:t xml:space="preserve">Day</w:t>
      </w:r>
      <w:r>
        <w:t xml:space="preserve"> </w:t>
      </w:r>
      <w:r>
        <w:t xml:space="preserve">(bright coastline/city) and</w:t>
      </w:r>
      <w:r>
        <w:t xml:space="preserve"> </w:t>
      </w:r>
      <w:r>
        <w:rPr>
          <w:bCs/>
          <w:b/>
        </w:rPr>
        <w:t xml:space="preserve">Night</w:t>
      </w:r>
      <w:r>
        <w:t xml:space="preserve"> </w:t>
      </w:r>
      <w:r>
        <w:t xml:space="preserve">(dusk/night skyline with light trails) — auto-switched with the theme.</w:t>
      </w:r>
    </w:p>
    <w:p>
      <w:pPr>
        <w:numPr>
          <w:ilvl w:val="0"/>
          <w:numId w:val="1004"/>
        </w:numPr>
        <w:pStyle w:val="Compact"/>
      </w:pPr>
      <w:r>
        <w:t xml:space="preserve">Technical: muted, autoplay, looped, playsinline; H.264/AV1 ≤3 MB each, 8–12 s; poster image fallback;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swaps video for the poster. Below-the-fold media lazy-loads.</w:t>
      </w:r>
    </w:p>
    <w:bookmarkEnd w:id="31"/>
    <w:bookmarkStart w:id="32" w:name="motion-language"/>
    <w:p>
      <w:pPr>
        <w:pStyle w:val="Heading3"/>
      </w:pPr>
      <w:r>
        <w:t xml:space="preserve">5.3 Motion language</w:t>
      </w:r>
    </w:p>
    <w:p>
      <w:pPr>
        <w:pStyle w:val="FirstParagraph"/>
      </w:pPr>
      <w:r>
        <w:t xml:space="preserve">Smooth, purposeful, GPU-cheap: scroll-linked songline drawing (SVG stroke-dash), fade/slide section reveals, card hover lifts. No parallax jank, no layout-shift animations. All animation honours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85904e8cc8b863052e97a1b4a22eccf799a0faf"/>
    <w:p>
      <w:pPr>
        <w:pStyle w:val="Heading2"/>
      </w:pPr>
      <w:r>
        <w:t xml:space="preserve">6. Information Architecture — Full Page Inventory</w:t>
      </w:r>
    </w:p>
    <w:bookmarkStart w:id="34" w:name="core-pages"/>
    <w:p>
      <w:pPr>
        <w:pStyle w:val="Heading3"/>
      </w:pPr>
      <w:r>
        <w:t xml:space="preserve">6.1 Core pages</w:t>
      </w:r>
    </w:p>
    <w:p>
      <w:pPr>
        <w:pStyle w:val="FirstParagraph"/>
      </w:pPr>
      <w:r>
        <w:t xml:space="preserve">Home · About / Our Team · Pricing · Contact · Blog (listing + posts) · Privacy Policy &amp; Terms</w:t>
      </w:r>
    </w:p>
    <w:bookmarkEnd w:id="34"/>
    <w:bookmarkStart w:id="35" w:name="X0462b2987737215ba7b0ffd789fb8d0036ddc1f"/>
    <w:p>
      <w:pPr>
        <w:pStyle w:val="Heading3"/>
      </w:pPr>
      <w:r>
        <w:t xml:space="preserve">6.2 Visa hubs (migrated content from archive, rewritten marketing language)</w:t>
      </w:r>
    </w:p>
    <w:p>
      <w:pPr>
        <w:pStyle w:val="FirstParagraph"/>
      </w:pPr>
      <w:r>
        <w:t xml:space="preserve">Partner Visas 820/801 · Partner Visa 309/100 · Prospective Marriage 300 · Visitor 600 · Student 500 · Work Holiday 417/462 · Training 407 · Short Stay 400 &amp; 408 · Skills in Demand 482 (SID) · Skilled Regional 494 · Employer Nomination 186 · Skilled Independent 189/190 · Parent 103 · Skills Assessments · Citizenship · Visa Refusals &amp; ART Appeals · Bridging Visas · Protection 866</w:t>
      </w:r>
    </w:p>
    <w:bookmarkEnd w:id="35"/>
    <w:bookmarkStart w:id="36" w:name="employer-section"/>
    <w:p>
      <w:pPr>
        <w:pStyle w:val="Heading3"/>
      </w:pPr>
      <w:r>
        <w:t xml:space="preserve">6.3 Employer section</w:t>
      </w:r>
    </w:p>
    <w:p>
      <w:pPr>
        <w:pStyle w:val="FirstParagraph"/>
      </w:pPr>
      <w:r>
        <w:t xml:space="preserve">Employer Hub (overview) · 482 SID for employers · 494 for regional employers · 186 nominations</w:t>
      </w:r>
    </w:p>
    <w:bookmarkEnd w:id="36"/>
    <w:bookmarkStart w:id="37" w:name="interactive-service-pages-new"/>
    <w:p>
      <w:pPr>
        <w:pStyle w:val="Heading3"/>
      </w:pPr>
      <w:r>
        <w:t xml:space="preserve">6.4 Interactive &amp; service pages (new)</w:t>
      </w:r>
    </w:p>
    <w:p>
      <w:pPr>
        <w:pStyle w:val="FirstParagraph"/>
      </w:pPr>
      <w:r>
        <w:rPr>
          <w:bCs/>
          <w:b/>
        </w:rPr>
        <w:t xml:space="preserve">Pathway Finder</w:t>
      </w:r>
      <w:r>
        <w:t xml:space="preserve"> </w:t>
      </w:r>
      <w:r>
        <w:t xml:space="preserve">(/pathways) — 5-question eligibility wizard → realistic pathways with indicative costs → consultation CTA.</w:t>
      </w:r>
      <w:r>
        <w:t xml:space="preserve"> </w:t>
      </w:r>
      <w:r>
        <w:rPr>
          <w:bCs/>
          <w:b/>
        </w:rPr>
        <w:t xml:space="preserve">Free Assessment</w:t>
      </w:r>
      <w:r>
        <w:t xml:space="preserve"> </w:t>
      </w:r>
      <w:r>
        <w:t xml:space="preserve">— retained external link to visa2au.mmportal.cloud (full assessment portal).</w:t>
      </w:r>
      <w:r>
        <w:t xml:space="preserve"> </w:t>
      </w:r>
      <w:r>
        <w:rPr>
          <w:bCs/>
          <w:b/>
        </w:rPr>
        <w:t xml:space="preserve">/pay</w:t>
      </w:r>
      <w:r>
        <w:t xml:space="preserve"> </w:t>
      </w:r>
      <w:r>
        <w:t xml:space="preserve">— invoice payment (Section 10).</w:t>
      </w:r>
      <w:r>
        <w:t xml:space="preserve"> </w:t>
      </w:r>
      <w:r>
        <w:rPr>
          <w:bCs/>
          <w:b/>
        </w:rPr>
        <w:t xml:space="preserve">/donate</w:t>
      </w:r>
      <w:r>
        <w:t xml:space="preserve"> </w:t>
      </w:r>
      <w:r>
        <w:t xml:space="preserve">— donations (Section 10).</w:t>
      </w:r>
      <w:r>
        <w:t xml:space="preserve"> </w:t>
      </w:r>
      <w:r>
        <w:rPr>
          <w:bCs/>
          <w:b/>
        </w:rPr>
        <w:t xml:space="preserve">/video</w:t>
      </w:r>
      <w:r>
        <w:t xml:space="preserve"> </w:t>
      </w:r>
      <w:r>
        <w:t xml:space="preserve">— consultation lobby (Section 11).</w:t>
      </w:r>
    </w:p>
    <w:bookmarkEnd w:id="37"/>
    <w:bookmarkStart w:id="38" w:name="funnel-rules-binding"/>
    <w:p>
      <w:pPr>
        <w:pStyle w:val="Heading3"/>
      </w:pPr>
      <w:r>
        <w:t xml:space="preserve">6.5 Funnel rules (binding)</w:t>
      </w:r>
    </w:p>
    <w:p>
      <w:pPr>
        <w:numPr>
          <w:ilvl w:val="0"/>
          <w:numId w:val="1005"/>
        </w:numPr>
        <w:pStyle w:val="Compact"/>
      </w:pPr>
      <w:r>
        <w:t xml:space="preserve">One primary CTA site-wide:</w:t>
      </w:r>
      <w:r>
        <w:t xml:space="preserve"> </w:t>
      </w:r>
      <w:r>
        <w:rPr>
          <w:bCs/>
          <w:b/>
        </w:rPr>
        <w:t xml:space="preserve">Book Consultation</w:t>
      </w:r>
      <w:r>
        <w:t xml:space="preserve"> </w:t>
      </w:r>
      <w:r>
        <w:t xml:space="preserve">(gold). One secondary:</w:t>
      </w:r>
      <w:r>
        <w:t xml:space="preserve"> </w:t>
      </w:r>
      <w:r>
        <w:rPr>
          <w:bCs/>
          <w:b/>
        </w:rPr>
        <w:t xml:space="preserve">Free Assessment</w:t>
      </w:r>
      <w:r>
        <w:t xml:space="preserve"> </w:t>
      </w:r>
      <w:r>
        <w:t xml:space="preserve">(outline).</w:t>
      </w:r>
    </w:p>
    <w:p>
      <w:pPr>
        <w:numPr>
          <w:ilvl w:val="0"/>
          <w:numId w:val="1005"/>
        </w:numPr>
        <w:pStyle w:val="Compact"/>
      </w:pPr>
      <w:r>
        <w:t xml:space="preserve">No duplicated contact/CTA sections on any page; each page ends with exactly one conversion block.</w:t>
      </w:r>
    </w:p>
    <w:p>
      <w:pPr>
        <w:numPr>
          <w:ilvl w:val="0"/>
          <w:numId w:val="1005"/>
        </w:numPr>
        <w:pStyle w:val="Compact"/>
      </w:pPr>
      <w:r>
        <w:t xml:space="preserve">Header CTA visible at all breakpoints; language switcher never obscured (header + footer placement, verified at 360 px and up).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home-page-blueprint"/>
    <w:p>
      <w:pPr>
        <w:pStyle w:val="Heading2"/>
      </w:pPr>
      <w:r>
        <w:t xml:space="preserve">7. Home Page Blueprint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— day/night video, headline (evergreen, no dates), MARN-registered trust badge (</w:t>
      </w:r>
      <w:r>
        <w:t xml:space="preserve">“</w:t>
      </w:r>
      <w:r>
        <w:t xml:space="preserve">Since 2004</w:t>
      </w:r>
      <w:r>
        <w:t xml:space="preserve">”</w:t>
      </w:r>
      <w:r>
        <w:t xml:space="preserve">), primary + secondary CTA, visa-chip quick links (top 6 subclasses), consultation price anchor ($330/hr).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strip</w:t>
      </w:r>
      <w:r>
        <w:t xml:space="preserve"> </w:t>
      </w:r>
      <w:r>
        <w:t xml:space="preserve">— MARN · 2,000+ cases · 99.8% success · 20+ years (single instance only).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Pathway Finder teaser</w:t>
      </w:r>
      <w:r>
        <w:t xml:space="preserve"> </w:t>
      </w:r>
      <w:r>
        <w:t xml:space="preserve">— interactive entry (</w:t>
      </w:r>
      <w:r>
        <w:t xml:space="preserve">“</w:t>
      </w:r>
      <w:r>
        <w:t xml:space="preserve">Not sure which visa? Answer 5 questions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Who we help</w:t>
      </w:r>
      <w:r>
        <w:t xml:space="preserve"> </w:t>
      </w:r>
      <w:r>
        <w:t xml:space="preserve">— Individuals / Families / Employers / Skilled Workers (4 cards, one link each).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Popular visa services</w:t>
      </w:r>
      <w:r>
        <w:t xml:space="preserve"> </w:t>
      </w:r>
      <w:r>
        <w:t xml:space="preserve">— 6 cards with dot-art animal icons +</w:t>
      </w:r>
      <w:r>
        <w:t xml:space="preserve"> </w:t>
      </w:r>
      <w:r>
        <w:t xml:space="preserve">“</w:t>
      </w:r>
      <w:r>
        <w:t xml:space="preserve">View all services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Visa2AU</w:t>
      </w:r>
      <w:r>
        <w:t xml:space="preserve"> </w:t>
      </w:r>
      <w:r>
        <w:t xml:space="preserve">— image collage + 4 value props + review avatars.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Meet the team</w:t>
      </w:r>
      <w:r>
        <w:t xml:space="preserve"> </w:t>
      </w:r>
      <w:r>
        <w:t xml:space="preserve">— carousel (4 professionals, photos supplied).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Testimonials</w:t>
      </w:r>
      <w:r>
        <w:t xml:space="preserve"> </w:t>
      </w:r>
      <w:r>
        <w:t xml:space="preserve">— placeholder cards now; Google Reviews live feed in Phase 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Urgent help banner</w:t>
      </w:r>
      <w:r>
        <w:t xml:space="preserve"> </w:t>
      </w:r>
      <w:r>
        <w:t xml:space="preserve">— refused/cancelled/deadline cases → Contact.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Blog preview</w:t>
      </w:r>
      <w:r>
        <w:t xml:space="preserve"> </w:t>
      </w:r>
      <w:r>
        <w:t xml:space="preserve">— 3 latest posts with feature images.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FAQ</w:t>
      </w:r>
      <w:r>
        <w:t xml:space="preserve"> </w:t>
      </w:r>
      <w:r>
        <w:t xml:space="preserve">— 5–6 questions with FAQPage schema.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Contact</w:t>
      </w:r>
      <w:r>
        <w:t xml:space="preserve"> </w:t>
      </w:r>
      <w:r>
        <w:t xml:space="preserve">— single form (name, email, phone, message) + booking link.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Footer</w:t>
      </w:r>
      <w:r>
        <w:t xml:space="preserve"> </w:t>
      </w:r>
      <w:r>
        <w:t xml:space="preserve">— full sitemap, contact, MARN/NAATI/ABN compliance block, Acknowledgement of Country, Donations link, MARA link, language switcher, animated songline band.</w:t>
      </w:r>
    </w:p>
    <w:p>
      <w:r>
        <w:pict>
          <v:rect style="width:0;height:1.5pt" o:hralign="center" o:hrstd="t" o:hr="t"/>
        </w:pict>
      </w:r>
    </w:p>
    <w:bookmarkEnd w:id="40"/>
    <w:bookmarkStart w:id="41" w:name="visa-hub-page-template"/>
    <w:p>
      <w:pPr>
        <w:pStyle w:val="Heading2"/>
      </w:pPr>
      <w:r>
        <w:t xml:space="preserve">8. Visa Hub Page Template</w:t>
      </w:r>
    </w:p>
    <w:p>
      <w:pPr>
        <w:pStyle w:val="FirstParagraph"/>
      </w:pPr>
      <w:r>
        <w:t xml:space="preserve">Every visa page follows one template (content depth is the product):</w:t>
      </w:r>
    </w:p>
    <w:p>
      <w:pPr>
        <w:numPr>
          <w:ilvl w:val="0"/>
          <w:numId w:val="1007"/>
        </w:numPr>
        <w:pStyle w:val="Compact"/>
      </w:pPr>
      <w:r>
        <w:t xml:space="preserve">Hero band with subclass chip + animal/motif accent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Journey map</w:t>
      </w:r>
      <w:r>
        <w:t xml:space="preserve"> </w:t>
      </w:r>
      <w:r>
        <w:t xml:space="preserve">— songline milestone graphic: Eligibility → Assessment/Documentation → Application/Nomination → Grant</w:t>
      </w:r>
    </w:p>
    <w:p>
      <w:pPr>
        <w:numPr>
          <w:ilvl w:val="0"/>
          <w:numId w:val="1007"/>
        </w:numPr>
        <w:pStyle w:val="Compact"/>
      </w:pPr>
      <w:r>
        <w:t xml:space="preserve">At-a-glance card: processing time, government charges, our professional fee, stay/rights summary</w:t>
      </w:r>
    </w:p>
    <w:p>
      <w:pPr>
        <w:numPr>
          <w:ilvl w:val="0"/>
          <w:numId w:val="1007"/>
        </w:numPr>
        <w:pStyle w:val="Compact"/>
      </w:pPr>
      <w:r>
        <w:t xml:space="preserve">Eligibility requirements (structured lists)</w:t>
      </w:r>
    </w:p>
    <w:p>
      <w:pPr>
        <w:numPr>
          <w:ilvl w:val="0"/>
          <w:numId w:val="1007"/>
        </w:numPr>
        <w:pStyle w:val="Compact"/>
      </w:pPr>
      <w:r>
        <w:t xml:space="preserve">Document checklist</w:t>
      </w:r>
    </w:p>
    <w:p>
      <w:pPr>
        <w:numPr>
          <w:ilvl w:val="0"/>
          <w:numId w:val="1007"/>
        </w:numPr>
        <w:pStyle w:val="Compact"/>
      </w:pPr>
      <w:r>
        <w:t xml:space="preserve">Costs table (transparent, itemised; schema-marked)</w:t>
      </w:r>
    </w:p>
    <w:p>
      <w:pPr>
        <w:numPr>
          <w:ilvl w:val="0"/>
          <w:numId w:val="1007"/>
        </w:numPr>
        <w:pStyle w:val="Compact"/>
      </w:pPr>
      <w:r>
        <w:t xml:space="preserve">FAQ (FAQPage JSON-LD — direct, quotable answers)</w:t>
      </w:r>
    </w:p>
    <w:p>
      <w:pPr>
        <w:numPr>
          <w:ilvl w:val="0"/>
          <w:numId w:val="1007"/>
        </w:numPr>
        <w:pStyle w:val="Compact"/>
      </w:pPr>
      <w:r>
        <w:t xml:space="preserve">Related visas + single conversion block (Book Consultation)</w:t>
      </w:r>
    </w:p>
    <w:p>
      <w:r>
        <w:pict>
          <v:rect style="width:0;height:1.5pt" o:hralign="center" o:hrstd="t" o:hr="t"/>
        </w:pict>
      </w:r>
    </w:p>
    <w:bookmarkEnd w:id="41"/>
    <w:bookmarkStart w:id="46" w:name="interactive-tools"/>
    <w:p>
      <w:pPr>
        <w:pStyle w:val="Heading2"/>
      </w:pPr>
      <w:r>
        <w:t xml:space="preserve">9. Interactive Tools</w:t>
      </w:r>
    </w:p>
    <w:bookmarkStart w:id="42" w:name="pathway-finder-pathways"/>
    <w:p>
      <w:pPr>
        <w:pStyle w:val="Heading3"/>
      </w:pPr>
      <w:r>
        <w:t xml:space="preserve">9.1 Pathway Finder (/pathways)</w:t>
      </w:r>
    </w:p>
    <w:p>
      <w:pPr>
        <w:pStyle w:val="FirstParagraph"/>
      </w:pPr>
      <w:r>
        <w:t xml:space="preserve">Five questions (situation, age range, occupation/skills, English level, timeframe) → ranked pathway cards with indicative cost ranges and</w:t>
      </w:r>
      <w:r>
        <w:t xml:space="preserve"> </w:t>
      </w:r>
      <w:r>
        <w:t xml:space="preserve">“</w:t>
      </w:r>
      <w:r>
        <w:t xml:space="preserve">discuss your case</w:t>
      </w:r>
      <w:r>
        <w:t xml:space="preserve">”</w:t>
      </w:r>
      <w:r>
        <w:t xml:space="preserve"> </w:t>
      </w:r>
      <w:r>
        <w:t xml:space="preserve">CTA. Built on-site (SEO asset, no off-domain leak). Static-first: decision logic ships as a small hydrated island; results pages are shareable via URL state.</w:t>
      </w:r>
    </w:p>
    <w:bookmarkEnd w:id="42"/>
    <w:bookmarkStart w:id="43" w:name="free-assessment"/>
    <w:p>
      <w:pPr>
        <w:pStyle w:val="Heading3"/>
      </w:pPr>
      <w:r>
        <w:t xml:space="preserve">9.2 Free Assessment</w:t>
      </w:r>
    </w:p>
    <w:p>
      <w:pPr>
        <w:pStyle w:val="FirstParagraph"/>
      </w:pPr>
      <w:r>
        <w:t xml:space="preserve">Retained as external link to the existing mmportal.cloud portal (owner decision). Presented as the</w:t>
      </w:r>
      <w:r>
        <w:t xml:space="preserve"> </w:t>
      </w:r>
      <w:r>
        <w:t xml:space="preserve">“</w:t>
      </w:r>
      <w:r>
        <w:t xml:space="preserve">detailed assessment</w:t>
      </w:r>
      <w:r>
        <w:t xml:space="preserve">”</w:t>
      </w:r>
      <w:r>
        <w:t xml:space="preserve"> </w:t>
      </w:r>
      <w:r>
        <w:t xml:space="preserve">step beneath Pathway Finder results.</w:t>
      </w:r>
    </w:p>
    <w:bookmarkEnd w:id="43"/>
    <w:bookmarkStart w:id="44" w:name="X01b1e779b7310b1df24ba4209be1387222b14ac"/>
    <w:p>
      <w:pPr>
        <w:pStyle w:val="Heading3"/>
      </w:pPr>
      <w:r>
        <w:t xml:space="preserve">9.3 Site Search (retained from v2.7 — confirmed valuable)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Command-palette UX preserved:</w:t>
      </w:r>
      <w:r>
        <w:t xml:space="preserve"> </w:t>
      </w:r>
      <w:r>
        <w:t xml:space="preserve">search icon in header +</w:t>
      </w:r>
      <w:r>
        <w:t xml:space="preserve"> </w:t>
      </w:r>
      <w:r>
        <w:rPr>
          <w:rStyle w:val="VerbatimChar"/>
        </w:rPr>
        <w:t xml:space="preserve">Ctrl/Cmd K</w:t>
      </w:r>
      <w:r>
        <w:t xml:space="preserve"> </w:t>
      </w:r>
      <w:r>
        <w:t xml:space="preserve">shortcut, exactly as users had in v2.7.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Engine: Pagefind</w:t>
      </w:r>
      <w:r>
        <w:t xml:space="preserve"> </w:t>
      </w:r>
      <w:r>
        <w:t xml:space="preserve">— static search index generated at build time; zero external service, zero recurring cost, near-zero runtime JS (loads only when the palette opens). Indexes all visa hubs, blog posts, pricing and FAQ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Multilingual-aware:</w:t>
      </w:r>
      <w:r>
        <w:t xml:space="preserve"> </w:t>
      </w:r>
      <w:r>
        <w:t xml:space="preserve">per-language indexes (EN/RU/FR), stemming support; results scoped to the visitor’s current language.</w:t>
      </w:r>
    </w:p>
    <w:p>
      <w:pPr>
        <w:numPr>
          <w:ilvl w:val="0"/>
          <w:numId w:val="1008"/>
        </w:numPr>
        <w:pStyle w:val="Compact"/>
      </w:pPr>
      <w:r>
        <w:t xml:space="preserve">Result cards show page type badge (Visa / Blog / Guide), title, and highlighted excerpt; keyboard-navigable; fully accessible (ARIA combobox pattern).</w:t>
      </w:r>
    </w:p>
    <w:bookmarkEnd w:id="44"/>
    <w:bookmarkStart w:id="45" w:name="voice-ai-assistant-elevenlabs-convai"/>
    <w:p>
      <w:pPr>
        <w:pStyle w:val="Heading3"/>
      </w:pPr>
      <w:r>
        <w:t xml:space="preserve">9.4 Voice AI Assistant (ElevenLabs ConvAI)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an audio conversation assistant anchored at the bottom of every page (ElevenLabs ConvAI widget, agent ID</w:t>
      </w:r>
      <w:r>
        <w:t xml:space="preserve"> </w:t>
      </w:r>
      <w:r>
        <w:rPr>
          <w:rStyle w:val="VerbatimChar"/>
        </w:rPr>
        <w:t xml:space="preserve">sbc5vWaEfYENNm21h3Sd</w:t>
      </w:r>
      <w:r>
        <w:t xml:space="preserve">), letting visitors explore the website’s content by voice in</w:t>
      </w:r>
      <w:r>
        <w:t xml:space="preserve"> </w:t>
      </w:r>
      <w:r>
        <w:rPr>
          <w:bCs/>
          <w:b/>
        </w:rPr>
        <w:t xml:space="preserve">27+ languages</w:t>
      </w:r>
      <w:r>
        <w:t xml:space="preserve"> </w:t>
      </w:r>
      <w:r>
        <w:t xml:space="preserve">— a genuine accessibility and conversion asset for a multilingual client base.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Positioning (binding copy requirement):</w:t>
      </w:r>
      <w:r>
        <w:t xml:space="preserve"> </w:t>
      </w:r>
      <w:r>
        <w:t xml:space="preserve">presented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 additional assistant to help you find the right visa</w:t>
      </w:r>
      <w:r>
        <w:rPr>
          <w:iCs/>
          <w:i/>
        </w:rPr>
        <w:t xml:space="preserve">”</w:t>
      </w:r>
      <w:r>
        <w:t xml:space="preserve"> </w:t>
      </w:r>
      <w:r>
        <w:t xml:space="preserve">— with a visible, persistent disclaimer:</w:t>
      </w:r>
      <w:r>
        <w:t xml:space="preserve"> </w:t>
      </w:r>
      <w:r>
        <w:rPr>
          <w:bCs/>
          <w:b/>
        </w:rPr>
        <w:t xml:space="preserve">it cannot replace a registered migration agent or a professional consultation.</w:t>
      </w:r>
      <w:r>
        <w:t xml:space="preserve"> </w:t>
      </w:r>
      <w:r>
        <w:t xml:space="preserve">No advice claims; it guides, the agents advise (MARA Code of Conduct alignment).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Lead capture:</w:t>
      </w:r>
      <w:r>
        <w:t xml:space="preserve"> </w:t>
      </w:r>
      <w:r>
        <w:t xml:space="preserve">the assistant collects enquiry details (another intake channel alongside forms); collected data flows to the same notification pipeline as contact forms and is covered by the privacy policy (third-party processing by ElevenLabs disclosed; cross-border disclosure per APP 8).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Conversation limit:</w:t>
      </w:r>
      <w:r>
        <w:t xml:space="preserve"> </w:t>
      </w:r>
      <w:r>
        <w:t xml:space="preserve">6 minutes per session (configured in the ElevenLabs agent dashboard — owner-side setting).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Knowledge grounding:</w:t>
      </w:r>
      <w:r>
        <w:t xml:space="preserve"> </w:t>
      </w:r>
      <w:r>
        <w:t xml:space="preserve">the agent is configured against the site’s content (the Markdown endpoints and llms.txt from Section 14 double as its knowledge source).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Feature flag (binding):</w:t>
      </w:r>
      <w:r>
        <w:t xml:space="preserve"> </w:t>
      </w:r>
      <w:r>
        <w:t xml:space="preserve">the entire widget ships behind an environment flag (</w:t>
      </w:r>
      <w:r>
        <w:rPr>
          <w:rStyle w:val="VerbatimChar"/>
        </w:rPr>
        <w:t xml:space="preserve">PUBLIC_VOICE_ASSISTANT_ENABLED</w:t>
      </w:r>
      <w:r>
        <w:t xml:space="preserve">) — one-line disable, no code surgery, if the owner decides to switch it off.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Embed (reference implementation):</w:t>
      </w:r>
    </w:p>
    <w:p>
      <w:pPr>
        <w:pStyle w:val="SourceCode"/>
      </w:pPr>
      <w:r>
        <w:rPr>
          <w:rStyle w:val="KeywordTok"/>
        </w:rPr>
        <w:t xml:space="preserve">&lt;elevenlabs-convai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agent-id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"sbc5vWaEfYENNm21h3Sd"</w:t>
      </w:r>
      <w:r>
        <w:rPr>
          <w:rStyle w:val="KeywordTok"/>
        </w:rPr>
        <w:t xml:space="preserve">&gt;&lt;/elevenlabs-convai&gt;</w:t>
      </w:r>
      <w:r>
        <w:br/>
      </w: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"https://unpkg.com/@elevenlabs/convai-widget-embed"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async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"text/javascript"</w:t>
      </w:r>
      <w:r>
        <w:rPr>
          <w:rStyle w:val="KeywordTok"/>
        </w:rPr>
        <w:t xml:space="preserve">&gt;&lt;/script&gt;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Performance rule:</w:t>
      </w:r>
      <w:r>
        <w:t xml:space="preserve"> </w:t>
      </w:r>
      <w:r>
        <w:t xml:space="preserve">the script never loads during initial page render — it loads on first user interaction with the launcher button (or after idle), keeping the ≥97 Lighthouse budget intact. Widget styled to brand (navy/gold launcher).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ommerce-pages"/>
    <w:p>
      <w:pPr>
        <w:pStyle w:val="Heading2"/>
      </w:pPr>
      <w:r>
        <w:t xml:space="preserve">10. Commerce Pages</w:t>
      </w:r>
    </w:p>
    <w:bookmarkStart w:id="47" w:name="pay-invoice-payment"/>
    <w:p>
      <w:pPr>
        <w:pStyle w:val="Heading3"/>
      </w:pPr>
      <w:r>
        <w:t xml:space="preserve">10.1 /pay — invoice payment</w:t>
      </w:r>
    </w:p>
    <w:p>
      <w:pPr>
        <w:numPr>
          <w:ilvl w:val="0"/>
          <w:numId w:val="1011"/>
        </w:numPr>
        <w:pStyle w:val="Compact"/>
      </w:pPr>
      <w:r>
        <w:t xml:space="preserve">Fields: full name, invoice / service order number, amount (AUD).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Fee disclosure (binding UI requirement):</w:t>
      </w:r>
      <w:r>
        <w:t xml:space="preserve"> </w:t>
      </w:r>
      <w:r>
        <w:t xml:space="preserve">before payment, the page itemises — Invoice amount + International card processing fee (4.55%) = Total charged. Copy makes clear Visa2AU passes the card cost to the client when paying by international credit card (RBA-compliant: disclosed pre-payment, not exceeding cost of acceptance).</w:t>
      </w:r>
    </w:p>
    <w:p>
      <w:pPr>
        <w:numPr>
          <w:ilvl w:val="0"/>
          <w:numId w:val="1011"/>
        </w:numPr>
        <w:pStyle w:val="Compact"/>
      </w:pPr>
      <w:r>
        <w:t xml:space="preserve">Stripe Checkout (international cards), server-side amount/fee computation via Cloudflare Worker; Stripe keys supplied later — UI and logic built against test keys.</w:t>
      </w:r>
    </w:p>
    <w:p>
      <w:pPr>
        <w:numPr>
          <w:ilvl w:val="0"/>
          <w:numId w:val="1011"/>
        </w:numPr>
        <w:pStyle w:val="Compact"/>
      </w:pPr>
      <w:r>
        <w:t xml:space="preserve">Success/failure pages with payment reference; email receipt.</w:t>
      </w:r>
    </w:p>
    <w:bookmarkEnd w:id="47"/>
    <w:bookmarkStart w:id="48" w:name="donate"/>
    <w:p>
      <w:pPr>
        <w:pStyle w:val="Heading3"/>
      </w:pPr>
      <w:r>
        <w:t xml:space="preserve">10.2 /donate</w:t>
      </w:r>
    </w:p>
    <w:p>
      <w:pPr>
        <w:pStyle w:val="FirstParagraph"/>
      </w:pPr>
      <w:r>
        <w:t xml:space="preserve">Preset + custom amounts via Stripe (Payment Links or Checkout); warm, non-intrusive design consistent with brand; linked in footer, never as a primary CTA.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video-consultation-lobby-video"/>
    <w:p>
      <w:pPr>
        <w:pStyle w:val="Heading2"/>
      </w:pPr>
      <w:r>
        <w:t xml:space="preserve">11. Video Consultation Lobby (/video)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 single branded link the agent shares with a client for quick consultations.</w:t>
      </w:r>
    </w:p>
    <w:p>
      <w:pPr>
        <w:pStyle w:val="BodyText"/>
      </w:pPr>
      <w:r>
        <w:t xml:space="preserve">Flow:</w:t>
      </w:r>
      <w:r>
        <w:t xml:space="preserve"> </w:t>
      </w:r>
      <w:r>
        <w:t xml:space="preserve">1. Agent sends client</w:t>
      </w:r>
      <w:r>
        <w:t xml:space="preserve"> </w:t>
      </w:r>
      <w:r>
        <w:rPr>
          <w:rStyle w:val="VerbatimChar"/>
        </w:rPr>
        <w:t xml:space="preserve">visa2.au/video</w:t>
      </w:r>
      <w:r>
        <w:t xml:space="preserve"> </w:t>
      </w:r>
      <w:r>
        <w:t xml:space="preserve">+ the current passcode.</w:t>
      </w:r>
      <w:r>
        <w:t xml:space="preserve"> </w:t>
      </w:r>
      <w:r>
        <w:t xml:space="preserve">2. Client lands on a branded lobby (logo, songline motif, theme-aware), enters name + passcode.</w:t>
      </w:r>
      <w:r>
        <w:t xml:space="preserve"> </w:t>
      </w:r>
      <w:r>
        <w:t xml:space="preserve">3. Cloudflare Worker validates the passcode server-side (development default:</w:t>
      </w:r>
      <w:r>
        <w:t xml:space="preserve"> </w:t>
      </w:r>
      <w:r>
        <w:rPr>
          <w:rStyle w:val="VerbatimChar"/>
        </w:rPr>
        <w:t xml:space="preserve">visahelp</w:t>
      </w:r>
      <w:r>
        <w:t xml:space="preserve">, stored as Worker secret</w:t>
      </w:r>
      <w:r>
        <w:t xml:space="preserve"> </w:t>
      </w:r>
      <w:r>
        <w:rPr>
          <w:rStyle w:val="VerbatimChar"/>
        </w:rPr>
        <w:t xml:space="preserve">VIDEO_LOBBY_PASSCODE</w:t>
      </w:r>
      <w:r>
        <w:t xml:space="preserve">, rotatable in one line), creates/fetches a private Daily room and issues a short-lived meeting token.</w:t>
      </w:r>
      <w:r>
        <w:t xml:space="preserve"> </w:t>
      </w:r>
      <w:r>
        <w:t xml:space="preserve">4. Client joins an embedded Daily Prebuilt call inside the branded frame (camera/mic pre-join check).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Recording is ON by default</w:t>
      </w:r>
      <w:r>
        <w:t xml:space="preserve"> </w:t>
      </w:r>
      <w:r>
        <w:t xml:space="preserve">(cloud recording auto-start). Pre-join screen displays: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consultation is recorded for quality and compliance.</w:t>
      </w:r>
      <w:r>
        <w:rPr>
          <w:iCs/>
          <w:i/>
        </w:rPr>
        <w:t xml:space="preserve">”</w:t>
      </w:r>
      <w:r>
        <w:t xml:space="preserve"> </w:t>
      </w:r>
      <w:r>
        <w:t xml:space="preserve">with a mandatory acknowledgement tick; a recording indicator remains visible in-call. New Daily VCS compositor with layout animations enabled.</w:t>
      </w:r>
    </w:p>
    <w:p>
      <w:pPr>
        <w:pStyle w:val="BodyText"/>
      </w:pPr>
      <w:r>
        <w:t xml:space="preserve">Notes: Daily API key + Daily domain supplied by owner at build time; key lives only in Worker secrets. No booking calendar in v1 (deliberately simple). Optional Phase 2: per-client one-time codes, transcription.</w:t>
      </w:r>
    </w:p>
    <w:p>
      <w:r>
        <w:pict>
          <v:rect style="width:0;height:1.5pt" o:hralign="center" o:hrstd="t" o:hr="t"/>
        </w:pict>
      </w:r>
    </w:p>
    <w:bookmarkEnd w:id="50"/>
    <w:bookmarkStart w:id="51" w:name="blog-cms"/>
    <w:p>
      <w:pPr>
        <w:pStyle w:val="Heading2"/>
      </w:pPr>
      <w:r>
        <w:t xml:space="preserve">12. Blog &amp; CMS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TinaCMS</w:t>
      </w:r>
      <w:r>
        <w:t xml:space="preserve"> </w:t>
      </w:r>
      <w:r>
        <w:t xml:space="preserve">managing Markdown content collections (posts, visa pages, team, testimonials). Owner edits without a developer; content lives in the repo (Git-based, versioned).</w:t>
      </w:r>
    </w:p>
    <w:p>
      <w:pPr>
        <w:numPr>
          <w:ilvl w:val="0"/>
          <w:numId w:val="1012"/>
        </w:numPr>
        <w:pStyle w:val="Compact"/>
      </w:pPr>
      <w:r>
        <w:t xml:space="preserve">12 existing posts migrate from the archive (see Section 19).</w:t>
      </w:r>
    </w:p>
    <w:p>
      <w:pPr>
        <w:numPr>
          <w:ilvl w:val="0"/>
          <w:numId w:val="1012"/>
        </w:numPr>
        <w:pStyle w:val="Compact"/>
      </w:pPr>
      <w:r>
        <w:t xml:space="preserve">Every post: feature image (per Appendix A spec), mandatory alt text, author, publish date, reading time, tags, related posts, Article JSON-LD.</w:t>
      </w:r>
    </w:p>
    <w:p>
      <w:pPr>
        <w:numPr>
          <w:ilvl w:val="0"/>
          <w:numId w:val="1012"/>
        </w:numPr>
        <w:pStyle w:val="Compact"/>
      </w:pPr>
      <w:r>
        <w:t xml:space="preserve">RSS feed; per-post social/OG images.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Phase 2 hook:</w:t>
      </w:r>
      <w:r>
        <w:t xml:space="preserve"> </w:t>
      </w:r>
      <w:r>
        <w:t xml:space="preserve">audio narration of posts via Cloudflare Workers AI TTS (architecture must not preclude it).</w:t>
      </w:r>
    </w:p>
    <w:p>
      <w:r>
        <w:pict>
          <v:rect style="width:0;height:1.5pt" o:hralign="center" o:hrstd="t" o:hr="t"/>
        </w:pict>
      </w:r>
    </w:p>
    <w:bookmarkEnd w:id="51"/>
    <w:bookmarkStart w:id="52" w:name="multilingual-architecture"/>
    <w:p>
      <w:pPr>
        <w:pStyle w:val="Heading2"/>
      </w:pPr>
      <w:r>
        <w:t xml:space="preserve">13. Multilingual Architecture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English</w:t>
      </w:r>
      <w:r>
        <w:t xml:space="preserve"> </w:t>
      </w:r>
      <w:r>
        <w:t xml:space="preserve">is the default language at root;</w:t>
      </w:r>
      <w:r>
        <w:t xml:space="preserve"> </w:t>
      </w:r>
      <w:r>
        <w:rPr>
          <w:bCs/>
          <w:b/>
        </w:rPr>
        <w:t xml:space="preserve">Russian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/ru/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French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/fr/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i18n routing, language switcher (header + footer),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 </w:t>
      </w:r>
      <w:r>
        <w:t xml:space="preserve">clusters, translated URL slugs, per-language sitemaps — all built from day one.</w:t>
      </w:r>
    </w:p>
    <w:p>
      <w:pPr>
        <w:numPr>
          <w:ilvl w:val="0"/>
          <w:numId w:val="1013"/>
        </w:numPr>
        <w:pStyle w:val="Compact"/>
      </w:pPr>
      <w:r>
        <w:t xml:space="preserve">Content translation is handled by the owner later; the system ships with EN complete and RU/FR structures ready (fallback to EN for untranslated pages, clearly handled for SEO with</w:t>
      </w:r>
      <w:r>
        <w:t xml:space="preserve"> </w:t>
      </w:r>
      <w:r>
        <w:rPr>
          <w:rStyle w:val="VerbatimChar"/>
        </w:rPr>
        <w:t xml:space="preserve">x-default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Font subsets cover Cyrillic and French diacritics.</w:t>
      </w:r>
    </w:p>
    <w:p>
      <w:r>
        <w:pict>
          <v:rect style="width:0;height:1.5pt" o:hralign="center" o:hrstd="t" o:hr="t"/>
        </w:pict>
      </w:r>
    </w:p>
    <w:bookmarkEnd w:id="52"/>
    <w:bookmarkStart w:id="53" w:name="seo-ai-citability"/>
    <w:p>
      <w:pPr>
        <w:pStyle w:val="Heading2"/>
      </w:pPr>
      <w:r>
        <w:t xml:space="preserve">14. SEO &amp; AI Citability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Structured data (JSON-LD) on every page type:</w:t>
      </w:r>
      <w:r>
        <w:t xml:space="preserve"> </w:t>
      </w:r>
      <w:r>
        <w:t xml:space="preserve">LegalService (+ MARN identifiers), FAQPage, Article, BreadcrumbList, SpeakableSpecification, Organization with sameAs.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 readiness:</w:t>
      </w:r>
      <w:r>
        <w:t xml:space="preserve"> </w:t>
      </w:r>
      <w:r>
        <w:rPr>
          <w:rStyle w:val="VerbatimChar"/>
        </w:rPr>
        <w:t xml:space="preserve">/llms.txt</w:t>
      </w:r>
      <w:r>
        <w:t xml:space="preserve">, per-page Markdown endpoints (content negotiation pattern), clean semantic HTML, direct-answer FAQ and cost blocks written to be quoted with figures and dates.</w:t>
      </w:r>
    </w:p>
    <w:p>
      <w:pPr>
        <w:numPr>
          <w:ilvl w:val="0"/>
          <w:numId w:val="1014"/>
        </w:numPr>
        <w:pStyle w:val="Compact"/>
      </w:pPr>
      <w:r>
        <w:t xml:space="preserve">XML sitemap + per-language sitemaps, canonical URLs, robots.txt.</w:t>
      </w:r>
    </w:p>
    <w:p>
      <w:pPr>
        <w:numPr>
          <w:ilvl w:val="0"/>
          <w:numId w:val="1014"/>
        </w:numPr>
        <w:pStyle w:val="Compact"/>
      </w:pPr>
      <w:r>
        <w:t xml:space="preserve">Open Graph + Twitter cards with branded OG images (songline template).</w:t>
      </w:r>
    </w:p>
    <w:p>
      <w:pPr>
        <w:numPr>
          <w:ilvl w:val="0"/>
          <w:numId w:val="1014"/>
        </w:numPr>
        <w:pStyle w:val="Compact"/>
      </w:pPr>
      <w:r>
        <w:t xml:space="preserve">Redirect map from all current kimi.page URLs (301s) — no link equity loss at cutover.</w:t>
      </w:r>
    </w:p>
    <w:p>
      <w:pPr>
        <w:numPr>
          <w:ilvl w:val="0"/>
          <w:numId w:val="1014"/>
        </w:numPr>
        <w:pStyle w:val="Compact"/>
      </w:pPr>
      <w:r>
        <w:t xml:space="preserve">Core Web Vitals monitored via Cloudflare Web Analytics (privacy-friendly, no cookie banner needed).</w:t>
      </w:r>
    </w:p>
    <w:p>
      <w:r>
        <w:pict>
          <v:rect style="width:0;height:1.5pt" o:hralign="center" o:hrstd="t" o:hr="t"/>
        </w:pict>
      </w:r>
    </w:p>
    <w:bookmarkEnd w:id="53"/>
    <w:bookmarkStart w:id="54" w:name="performance-budget-target-lighthouse-97"/>
    <w:p>
      <w:pPr>
        <w:pStyle w:val="Heading2"/>
      </w:pPr>
      <w:r>
        <w:t xml:space="preserve">15. Performance Budget (target: Lighthouse ≥ 97)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Budget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/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 5 — zero JS by default; hydration only for islands (Pathway Finder, video lobby, theme toggle)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image pipeline; AVIF/WebP, responsive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  <w:r>
              <w:t xml:space="preserve">, lazy below fold; every image has descriptive 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MB, poster fallback, lazy, reduced-motion 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subset, ≤3 families, preloaded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CSS inlined; Tailwind 4 purged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Turnstile deferred; Stripe/Daily load only on their pages; ElevenLabs widget lazy-loads on interaction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Pagefind index pre-built at deploy; search JS loads only when palette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edge caching, immutable asset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Mobile-first; verified from 360 px; tap targets ≥44 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echnical-architecture"/>
    <w:p>
      <w:pPr>
        <w:pStyle w:val="Heading2"/>
      </w:pPr>
      <w:r>
        <w:t xml:space="preserve">16. Technical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 5 + TypeScript + Tailwind CSS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Content-first SSG with islands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TinaCMS (Git-based)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Markdown/MDX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 (static) + Workers (dynamic)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Client’s existing Cloudflare account/DNS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D1 (form submissions log) + R2 (media/recordings refs)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migrated from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image optimisation / R2 + responsive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AVIF/WebP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endpoints + Turnstile + Resend (email to info@visa2.au)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DKIM records to add to DNS (values at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Daily.co (Prebuilt embed + REST API from Worker)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Passcode gate at our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Checkout + Webhooks (Worker)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keys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Pagefind (build-time static 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service; per-language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ElevenLabs ConvAI widget (agent</w:t>
            </w:r>
            <w:r>
              <w:t xml:space="preserve"> </w:t>
            </w:r>
            <w:r>
              <w:rPr>
                <w:rStyle w:val="VerbatimChar"/>
              </w:rPr>
              <w:t xml:space="preserve">sbc5vWaEfYENNm21h3Sd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Feature-flagged, lazy-loaded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Repo/CI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Client-owned Git repo → Cloudflare Pages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deployments per branch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ecurity-secrets-management"/>
    <w:p>
      <w:pPr>
        <w:pStyle w:val="Heading2"/>
      </w:pPr>
      <w:r>
        <w:t xml:space="preserve">17. Security &amp; Secrets Management</w:t>
      </w:r>
    </w:p>
    <w:p>
      <w:pPr>
        <w:numPr>
          <w:ilvl w:val="0"/>
          <w:numId w:val="1015"/>
        </w:numPr>
        <w:pStyle w:val="Compact"/>
      </w:pPr>
      <w:r>
        <w:t xml:space="preserve">All secrets live in</w:t>
      </w:r>
      <w:r>
        <w:t xml:space="preserve"> </w:t>
      </w:r>
      <w:r>
        <w:rPr>
          <w:bCs/>
          <w:b/>
        </w:rPr>
        <w:t xml:space="preserve">Cloudflare Worker secrets</w:t>
      </w:r>
      <w:r>
        <w:t xml:space="preserve"> </w:t>
      </w:r>
      <w:r>
        <w:t xml:space="preserve">(server-side only), never in the client bundle, never committed to Git:</w:t>
      </w:r>
      <w:r>
        <w:t xml:space="preserve"> </w:t>
      </w:r>
      <w:r>
        <w:rPr>
          <w:rStyle w:val="VerbatimChar"/>
        </w:rPr>
        <w:t xml:space="preserve">DAILY_API_KEY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TURNSTILE_SECRET_KEY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VIDEO_LOBBY_PASSCODE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Browser receives only short-lived, single-purpose tokens (Daily meeting tokens, Stripe publishable key).</w:t>
      </w:r>
    </w:p>
    <w:p>
      <w:pPr>
        <w:numPr>
          <w:ilvl w:val="0"/>
          <w:numId w:val="1015"/>
        </w:numPr>
        <w:pStyle w:val="Compact"/>
      </w:pPr>
      <w:r>
        <w:t xml:space="preserve">Turnstile on all public forms; rate limiting on passcode attempts (lockout after repeated failures); security headers (CSP, HSTS, X-Content-Type-Options, Referrer-Policy).</w:t>
      </w:r>
    </w:p>
    <w:p>
      <w:r>
        <w:pict>
          <v:rect style="width:0;height:1.5pt" o:hralign="center" o:hrstd="t" o:hr="t"/>
        </w:pict>
      </w:r>
    </w:p>
    <w:bookmarkEnd w:id="56"/>
    <w:bookmarkStart w:id="57" w:name="accessibility-privacy-compliance"/>
    <w:p>
      <w:pPr>
        <w:pStyle w:val="Heading2"/>
      </w:pPr>
      <w:r>
        <w:t xml:space="preserve">18. Accessibility, Privacy &amp; Compliance</w:t>
      </w:r>
    </w:p>
    <w:p>
      <w:pPr>
        <w:numPr>
          <w:ilvl w:val="0"/>
          <w:numId w:val="1016"/>
        </w:numPr>
        <w:pStyle w:val="Compact"/>
      </w:pPr>
      <w:r>
        <w:t xml:space="preserve">WCAG 2.2 AA: contrast-checked palette pairs, keyboard navigation, focus states, skip links, descriptive alt text (decorative motifs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Privacy Act 1988 (Cth)</w:t>
      </w:r>
      <w:r>
        <w:t xml:space="preserve"> </w:t>
      </w:r>
      <w:r>
        <w:t xml:space="preserve">compliant privacy policy; form data minimisation; submission records in D1 with retention rule.</w:t>
      </w:r>
    </w:p>
    <w:p>
      <w:pPr>
        <w:numPr>
          <w:ilvl w:val="0"/>
          <w:numId w:val="1016"/>
        </w:numPr>
        <w:pStyle w:val="Compact"/>
      </w:pPr>
      <w:r>
        <w:t xml:space="preserve">Recording consent flow on /video (Section 11).</w:t>
      </w:r>
    </w:p>
    <w:p>
      <w:pPr>
        <w:numPr>
          <w:ilvl w:val="0"/>
          <w:numId w:val="1016"/>
        </w:numPr>
        <w:pStyle w:val="Compact"/>
      </w:pPr>
      <w:r>
        <w:t xml:space="preserve">Card-fee disclosure on /pay (Section 10.1).</w:t>
      </w:r>
    </w:p>
    <w:p>
      <w:pPr>
        <w:numPr>
          <w:ilvl w:val="0"/>
          <w:numId w:val="1016"/>
        </w:numPr>
        <w:pStyle w:val="Compact"/>
      </w:pPr>
      <w:r>
        <w:t xml:space="preserve">MARA Code of Conduct respected: registration numbers displayed, no misleading success guarantees (stats presented as historical record).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Voice assistant compliance:</w:t>
      </w:r>
      <w:r>
        <w:t xml:space="preserve"> </w:t>
      </w:r>
      <w:r>
        <w:t xml:space="preserve">persistent on-widget disclaimer that the AI assistant cannot replace a registered migration agent or professional consultation; no migration advice is given by the assistant; lead-capture data handling disclosed in the privacy policy including third-party processing (ElevenLabs) and cross-border disclosure (APP 8); conversation recordings/transcripts handled per ElevenLabs data terms and the site retention rule.</w:t>
      </w:r>
    </w:p>
    <w:p>
      <w:pPr>
        <w:numPr>
          <w:ilvl w:val="0"/>
          <w:numId w:val="1016"/>
        </w:numPr>
        <w:pStyle w:val="Compact"/>
      </w:pPr>
      <w:r>
        <w:t xml:space="preserve">Acknowledgement of Country in footer; ICIP-respectful original artwork only.</w:t>
      </w:r>
    </w:p>
    <w:p>
      <w:r>
        <w:pict>
          <v:rect style="width:0;height:1.5pt" o:hralign="center" o:hrstd="t" o:hr="t"/>
        </w:pict>
      </w:r>
    </w:p>
    <w:bookmarkEnd w:id="57"/>
    <w:bookmarkStart w:id="58" w:name="content-asset-inventory-in-hand"/>
    <w:p>
      <w:pPr>
        <w:pStyle w:val="Heading2"/>
      </w:pPr>
      <w:r>
        <w:t xml:space="preserve">19. Content &amp; Asset Inventory (in hand)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v2.7 source (141 files: 33 pages, components, pricing data, D1 schema, Tina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WeTransfer archive V82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in project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blog posts (Markdown)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data (7 categories)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board (palette, typography, elements)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 (WhatsApp)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Digitised into Section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SVGs — white &amp; blue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(vector)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Dot-art animals &amp; songline textures (9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Secured; clean regeneration where artefacts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motifs — kookaburra, golden wattle, Opera House, Southern Cross (transparent PNG, watermark-cleaned)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In-house generation (v1.2)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in project asset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imagery (13 MB: heroes, Uluru, coast, cities)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optimisation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photos (Sergey, Denis, Franz, Natasha)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proposal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Reviewed; superseded by this brief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launch-migration-plan"/>
    <w:p>
      <w:pPr>
        <w:pStyle w:val="Heading2"/>
      </w:pPr>
      <w:r>
        <w:t xml:space="preserve">20. Launch &amp; Migration Plan</w:t>
      </w:r>
    </w:p>
    <w:p>
      <w:pPr>
        <w:numPr>
          <w:ilvl w:val="0"/>
          <w:numId w:val="1017"/>
        </w:numPr>
        <w:pStyle w:val="Compact"/>
      </w:pPr>
      <w:r>
        <w:t xml:space="preserve">Scaffold repo + CI on Cloudflare Pages (preview URL for review at every stage).</w:t>
      </w:r>
    </w:p>
    <w:p>
      <w:pPr>
        <w:numPr>
          <w:ilvl w:val="0"/>
          <w:numId w:val="1017"/>
        </w:numPr>
        <w:pStyle w:val="Compact"/>
      </w:pPr>
      <w:r>
        <w:t xml:space="preserve">Content migration &amp; rewrite pass (visa hubs, pricing, posts).</w:t>
      </w:r>
    </w:p>
    <w:p>
      <w:pPr>
        <w:numPr>
          <w:ilvl w:val="0"/>
          <w:numId w:val="1017"/>
        </w:numPr>
        <w:pStyle w:val="Compact"/>
      </w:pPr>
      <w:r>
        <w:t xml:space="preserve">Component build: themes, songline motion, hubs, Pathway Finder.</w:t>
      </w:r>
    </w:p>
    <w:p>
      <w:pPr>
        <w:numPr>
          <w:ilvl w:val="0"/>
          <w:numId w:val="1017"/>
        </w:numPr>
        <w:pStyle w:val="Compact"/>
      </w:pPr>
      <w:r>
        <w:t xml:space="preserve">Service pages: /pay (test keys), /donate, /video (Daily keys needed here).</w:t>
      </w:r>
    </w:p>
    <w:p>
      <w:pPr>
        <w:numPr>
          <w:ilvl w:val="0"/>
          <w:numId w:val="1017"/>
        </w:numPr>
        <w:pStyle w:val="Compact"/>
      </w:pPr>
      <w:r>
        <w:t xml:space="preserve">i18n structure + SEO/AI layer + performance hardening to ≥97.</w:t>
      </w:r>
    </w:p>
    <w:p>
      <w:pPr>
        <w:numPr>
          <w:ilvl w:val="0"/>
          <w:numId w:val="1017"/>
        </w:numPr>
        <w:pStyle w:val="Compact"/>
      </w:pPr>
      <w:r>
        <w:t xml:space="preserve">Redirect map + DNS cutover (zero downtime; Cloudflare already hosts DNS).</w:t>
      </w:r>
    </w:p>
    <w:p>
      <w:pPr>
        <w:numPr>
          <w:ilvl w:val="0"/>
          <w:numId w:val="1017"/>
        </w:numPr>
        <w:pStyle w:val="Compact"/>
      </w:pPr>
      <w:r>
        <w:t xml:space="preserve">Post-launch: Search Console, analytics baseline, 2-week monitoring.</w:t>
      </w:r>
    </w:p>
    <w:p>
      <w:pPr>
        <w:pStyle w:val="FirstParagraph"/>
      </w:pPr>
      <w:r>
        <w:rPr>
          <w:bCs/>
          <w:b/>
        </w:rPr>
        <w:t xml:space="preserve">Credentials the owner will supply during build:</w:t>
      </w:r>
      <w:r>
        <w:t xml:space="preserve"> </w:t>
      </w:r>
      <w:r>
        <w:t xml:space="preserve">Daily domain + API key · Stripe keys · (Resend handled by adding 2 DKIM DNS records).</w:t>
      </w:r>
    </w:p>
    <w:p>
      <w:r>
        <w:pict>
          <v:rect style="width:0;height:1.5pt" o:hralign="center" o:hrstd="t" o:hr="t"/>
        </w:pict>
      </w:r>
    </w:p>
    <w:bookmarkEnd w:id="59"/>
    <w:bookmarkStart w:id="60" w:name="phase-2-post-launch-backlog"/>
    <w:p>
      <w:pPr>
        <w:pStyle w:val="Heading2"/>
      </w:pPr>
      <w:r>
        <w:t xml:space="preserve">21. Phase 2 (post-launch backlog)</w:t>
      </w:r>
    </w:p>
    <w:p>
      <w:pPr>
        <w:numPr>
          <w:ilvl w:val="0"/>
          <w:numId w:val="1018"/>
        </w:numPr>
        <w:pStyle w:val="Compact"/>
      </w:pPr>
      <w:r>
        <w:t xml:space="preserve">Google Reviews live feed (placeholders ship in v1).</w:t>
      </w:r>
    </w:p>
    <w:p>
      <w:pPr>
        <w:numPr>
          <w:ilvl w:val="0"/>
          <w:numId w:val="1018"/>
        </w:numPr>
        <w:pStyle w:val="Compact"/>
      </w:pPr>
      <w:r>
        <w:t xml:space="preserve">Audio narration of blog posts via Workers AI TTS.</w:t>
      </w:r>
    </w:p>
    <w:p>
      <w:pPr>
        <w:numPr>
          <w:ilvl w:val="0"/>
          <w:numId w:val="1018"/>
        </w:numPr>
        <w:pStyle w:val="Compact"/>
      </w:pPr>
      <w:r>
        <w:t xml:space="preserve">Per-client one-time video passcodes; call transcription.</w:t>
      </w:r>
    </w:p>
    <w:p>
      <w:pPr>
        <w:numPr>
          <w:ilvl w:val="0"/>
          <w:numId w:val="1018"/>
        </w:numPr>
        <w:pStyle w:val="Compact"/>
      </w:pPr>
      <w:r>
        <w:t xml:space="preserve">RU/FR content population (owner-led).</w:t>
      </w:r>
    </w:p>
    <w:p>
      <w:pPr>
        <w:numPr>
          <w:ilvl w:val="0"/>
          <w:numId w:val="1018"/>
        </w:numPr>
        <w:pStyle w:val="Compact"/>
      </w:pPr>
      <w:r>
        <w:t xml:space="preserve">Self-hosted Tina backend evaluation vs TinaCloud.</w:t>
      </w:r>
    </w:p>
    <w:p>
      <w:r>
        <w:pict>
          <v:rect style="width:0;height:1.5pt" o:hralign="center" o:hrstd="t" o:hr="t"/>
        </w:pict>
      </w:r>
    </w:p>
    <w:bookmarkEnd w:id="60"/>
    <w:bookmarkStart w:id="61" w:name="X306ab7909c2e3be9616010b66ad7eb47c6deb07"/>
    <w:p>
      <w:pPr>
        <w:pStyle w:val="Heading2"/>
      </w:pPr>
      <w:r>
        <w:t xml:space="preserve">Appendix A — Blog Feature Image Style Spec (reusable)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t xml:space="preserve">3:2 (1200×800), transparent or white base, PNG/WebP.</w:t>
      </w:r>
      <w:r>
        <w:t xml:space="preserve"> </w:t>
      </w:r>
      <w:r>
        <w:rPr>
          <w:bCs/>
          <w:b/>
        </w:rPr>
        <w:t xml:space="preserve">Style:</w:t>
      </w:r>
      <w:r>
        <w:t xml:space="preserve"> </w:t>
      </w:r>
      <w:r>
        <w:t xml:space="preserve">single-motif gold dot-art line illustration on white (light posts) or navy</w:t>
      </w:r>
      <w:r>
        <w:t xml:space="preserve"> </w:t>
      </w:r>
      <w:r>
        <w:rPr>
          <w:rStyle w:val="VerbatimChar"/>
        </w:rPr>
        <w:t xml:space="preserve">#1A2744</w:t>
      </w:r>
      <w:r>
        <w:t xml:space="preserve"> </w:t>
      </w:r>
      <w:r>
        <w:t xml:space="preserve">(dark contexts), matching the supplied designer set.</w:t>
      </w:r>
      <w:r>
        <w:t xml:space="preserve"> </w:t>
      </w:r>
      <w:r>
        <w:rPr>
          <w:bCs/>
          <w:b/>
        </w:rPr>
        <w:t xml:space="preserve">Motifs:</w:t>
      </w:r>
      <w:r>
        <w:t xml:space="preserve"> </w:t>
      </w:r>
      <w:r>
        <w:t xml:space="preserve">one subject per post — animal (kangaroo/koala/turtle), landmark (Opera House, Harbour Bridge, Uluru), or document symbol (passport, stamp, checklist) — rendered as concentric dot-and-line art with 1–3 solid gold orbs as focal points.</w:t>
      </w:r>
    </w:p>
    <w:p>
      <w:pPr>
        <w:pStyle w:val="BodyText"/>
      </w:pPr>
      <w:r>
        <w:rPr>
          <w:bCs/>
          <w:b/>
        </w:rPr>
        <w:t xml:space="preserve">Reusable generation prompt (template):</w:t>
      </w:r>
    </w:p>
    <w:p>
      <w:pPr>
        <w:pStyle w:val="BlockText"/>
      </w:pPr>
      <w:r>
        <w:t xml:space="preserve">Minimalist Aboriginal-inspired dot-art line illustration of [SUBJECT], thin elegant dotted concentric lines in gold (#F0A000) with subtle navy (#1A2744) accents, 1–3 solid gold orb focal points, generous white negative space, flat vector style, clean edges, no text, no background clutter, 3:2 composition — suitable as a blog feature image for a professional Australian immigration agency.</w:t>
      </w:r>
    </w:p>
    <w:p>
      <w:pPr>
        <w:pStyle w:val="FirstParagraph"/>
      </w:pPr>
      <w:r>
        <w:rPr>
          <w:bCs/>
          <w:b/>
        </w:rPr>
        <w:t xml:space="preserve">Alt text rule:</w:t>
      </w:r>
      <w:r>
        <w:t xml:space="preserve"> </w:t>
      </w:r>
      <w:r>
        <w:t xml:space="preserve">describe the subject and its relevance to the post, e.g. </w:t>
      </w:r>
      <w:r>
        <w:rPr>
          <w:iCs/>
          <w:i/>
        </w:rPr>
        <w:t xml:space="preserve">“</w:t>
      </w:r>
      <w:r>
        <w:rPr>
          <w:iCs/>
          <w:i/>
        </w:rPr>
        <w:t xml:space="preserve">Gold dot-art illustration of a kangaroo for an article on skilled migration visas.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61"/>
    <w:bookmarkStart w:id="62" w:name="appendix-b-verified-business-data"/>
    <w:p>
      <w:pPr>
        <w:pStyle w:val="Heading2"/>
      </w:pPr>
      <w:r>
        <w:t xml:space="preserve">Appendix B — Verified Business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Visa2AU Pty Ltd, ABN 36676512397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17, 1 Denison Street, North Sydney NSW 2060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 2 9136 2462 (voicemail)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info@visa2.au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0534230 (N. Arens) · 2418663 (S. Vinnichenko)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CPN0VW21W (N. Arens)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$330 AUD per 1 hour (pro rata may apply)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Since 2004 · 2,000+ cases · 99.8% success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visa2au.mmportal.cloud (retained)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lobby passcode (dev)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visahelp</w:t>
            </w:r>
            <w:r>
              <w:t xml:space="preserve"> </w:t>
            </w:r>
            <w:r>
              <w:t xml:space="preserve">(Worker secret, rotatable)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sbc5vWaEfYENNm21h3Sd</w:t>
            </w:r>
            <w:r>
              <w:t xml:space="preserve"> </w:t>
            </w:r>
            <w:r>
              <w:t xml:space="preserve">(6-min session limit set in agent 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Pagefind static index,</w:t>
            </w:r>
            <w:r>
              <w:t xml:space="preserve"> </w:t>
            </w:r>
            <w:r>
              <w:rPr>
                <w:rStyle w:val="VerbatimChar"/>
              </w:rPr>
              <w:t xml:space="preserve">Ctrl/Cmd K</w:t>
            </w:r>
            <w:r>
              <w:t xml:space="preserve"> </w:t>
            </w:r>
            <w:r>
              <w:t xml:space="preserve">palette (retained from v2.7)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appendix-c-cloudflare-services-map"/>
    <w:p>
      <w:pPr>
        <w:pStyle w:val="Heading2"/>
      </w:pPr>
      <w:r>
        <w:t xml:space="preserve">Appendix C — Cloudflare Services Map</w:t>
      </w:r>
    </w:p>
    <w:p>
      <w:pPr>
        <w:pStyle w:val="FirstParagraph"/>
      </w:pPr>
      <w:r>
        <w:t xml:space="preserve">Pages (hosting/CDN) · Workers (forms, passcode gate, Stripe, Daily API) · D1 (submissions) · R2 (media) · Images (optimisation) · Turnstile (bot protection) · Web Analytics (privacy-friendly metrics) · DNS (already in place) · Email Routing (optional, inbound).</w:t>
      </w:r>
    </w:p>
    <w:p>
      <w:pPr>
        <w:pStyle w:val="BodyText"/>
      </w:pPr>
      <w:r>
        <w:rPr>
          <w:iCs/>
          <w:i/>
        </w:rPr>
        <w:t xml:space="preserve">End of brief — v1.2. Approved decisions are binding for the build; open items are listed in Sections 20–21. Changelog: v1.1 added Section 9.3 Site Search (Pagefind) and Section 9.4 Voice AI Assistant (ElevenLabs ConvAI, feature-flagged); v1.2 expanded Section 4.4 into a three-tier original iconography system (12-emblem wayfinding map, production pipeline, asset governance) with the first four in-house motifs delivered (kookaburra, golden wattle, Opera House, Southern Cross).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2026-07-17T15:10:39Z</dcterms:created>
  <dcterms:modified xsi:type="dcterms:W3CDTF">2026-07-17T15:10:39Z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