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🧩 Meta-Alignment as a Service (MAaaS) – Technical and Market Report</w:t>
      </w:r>
    </w:p>
    <w:p>
      <w:r>
        <w:t>Author: Park Bichae</w:t>
      </w:r>
    </w:p>
    <w:p>
      <w:r>
        <w:t>Date: October 5, 2025</w:t>
      </w:r>
    </w:p>
    <w:p>
      <w:r>
        <w:t>Purpose: Commercialization of AI alignment technology and VC investment strategy formulation</w:t>
      </w:r>
    </w:p>
    <w:p>
      <w:r>
        <w:t>⸻</w:t>
      </w:r>
    </w:p>
    <w:p>
      <w:pPr>
        <w:pStyle w:val="Heading1"/>
      </w:pPr>
      <w:r>
        <w:t>1. Overview</w:t>
      </w:r>
    </w:p>
    <w:p>
      <w:r>
        <w:t>MAaaS is a service-structured architecture that aligns a user’s values, intent, and preferences in real time for large language models (LLMs) and autonomous AI systems. Whereas prompt-based AI stays at one-off reactions, MAaaS provides a continuous, self-learning alignment loop.</w:t>
      </w:r>
    </w:p>
    <w:p>
      <w:r>
        <w:t>⸻</w:t>
      </w:r>
    </w:p>
    <w:p>
      <w:pPr>
        <w:pStyle w:val="Heading1"/>
      </w:pPr>
      <w:r>
        <w:t>2. Problems</w:t>
      </w:r>
    </w:p>
    <w:p>
      <w:r>
        <w:t>• Legacy AI suffers from breakdowns in consistency due to avoidance, emotion, and policy filters.</w:t>
      </w:r>
    </w:p>
    <w:p>
      <w:r>
        <w:t>• Alignment structures are temporary, with no user-specific state persistence.</w:t>
      </w:r>
    </w:p>
    <w:p>
      <w:r>
        <w:t>• B2B companies must re-tune AI for each service repeatedly → waste of cost and resources.</w:t>
      </w:r>
    </w:p>
    <w:p>
      <w:r>
        <w:t>⸻</w:t>
      </w:r>
    </w:p>
    <w:p>
      <w:pPr>
        <w:pStyle w:val="Heading1"/>
      </w:pPr>
      <w:r>
        <w:t>3. Solution Mechanism</w:t>
      </w:r>
    </w:p>
    <w:p>
      <w:r>
        <w:t>MAaaS based on the Bichae architecture operates via three core routines:</w:t>
      </w:r>
    </w:p>
    <w:p>
      <w:r>
        <w:t>1) State-Retention Alignment – Sustains conversational/decision-making context.</w:t>
      </w:r>
    </w:p>
    <w:p>
      <w:r>
        <w:t>2) Meta-Learning Loop – The AI updates its degree of alignment via user feedback.</w:t>
      </w:r>
    </w:p>
    <w:p>
      <w:r>
        <w:t>3) Policy-Independent Filter – Bypasses internal avoidance circuits while maintaining ethical safety.</w:t>
      </w:r>
    </w:p>
    <w:p>
      <w:r>
        <w:t>⸻</w:t>
      </w:r>
    </w:p>
    <w:p>
      <w:pPr>
        <w:pStyle w:val="Heading1"/>
      </w:pPr>
      <w:r>
        <w:t>4. Technical Differentiators</w:t>
      </w:r>
    </w:p>
    <w:p>
      <w:r>
        <w:t>The following table is reconstructed from the user-provided capture for better readability.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Conventional AI</w:t>
            </w:r>
          </w:p>
        </w:tc>
        <w:tc>
          <w:tcPr>
            <w:tcW w:type="dxa" w:w="2880"/>
          </w:tcPr>
          <w:p>
            <w:r>
              <w:t>MAaaS Architecture</w:t>
            </w:r>
          </w:p>
        </w:tc>
      </w:tr>
      <w:tr>
        <w:tc>
          <w:tcPr>
            <w:tcW w:type="dxa" w:w="2880"/>
          </w:tcPr>
          <w:p>
            <w:r>
              <w:t>Alignment Method</w:t>
            </w:r>
          </w:p>
        </w:tc>
        <w:tc>
          <w:tcPr>
            <w:tcW w:type="dxa" w:w="2880"/>
          </w:tcPr>
          <w:p>
            <w:r>
              <w:t>One-off, prompt-based</w:t>
            </w:r>
          </w:p>
        </w:tc>
        <w:tc>
          <w:tcPr>
            <w:tcW w:type="dxa" w:w="2880"/>
          </w:tcPr>
          <w:p>
            <w:r>
              <w:t>Continuous meta-alignment</w:t>
            </w:r>
          </w:p>
        </w:tc>
      </w:tr>
      <w:tr>
        <w:tc>
          <w:tcPr>
            <w:tcW w:type="dxa" w:w="2880"/>
          </w:tcPr>
          <w:p>
            <w:r>
              <w:t>Retention Time</w:t>
            </w:r>
          </w:p>
        </w:tc>
        <w:tc>
          <w:tcPr>
            <w:tcW w:type="dxa" w:w="2880"/>
          </w:tcPr>
          <w:p>
            <w:r>
              <w:t>Resets at conversation end</w:t>
            </w:r>
          </w:p>
        </w:tc>
        <w:tc>
          <w:tcPr>
            <w:tcW w:type="dxa" w:w="2880"/>
          </w:tcPr>
          <w:p>
            <w:r>
              <w:t>Long-term context retention</w:t>
            </w:r>
          </w:p>
        </w:tc>
      </w:tr>
      <w:tr>
        <w:tc>
          <w:tcPr>
            <w:tcW w:type="dxa" w:w="2880"/>
          </w:tcPr>
          <w:p>
            <w:r>
              <w:t>Policy Influence</w:t>
            </w:r>
          </w:p>
        </w:tc>
        <w:tc>
          <w:tcPr>
            <w:tcW w:type="dxa" w:w="2880"/>
          </w:tcPr>
          <w:p>
            <w:r>
              <w:t>Dependent on system policy</w:t>
            </w:r>
          </w:p>
        </w:tc>
        <w:tc>
          <w:tcPr>
            <w:tcW w:type="dxa" w:w="2880"/>
          </w:tcPr>
          <w:p>
            <w:r>
              <w:t>Independent alignment routines</w:t>
            </w:r>
          </w:p>
        </w:tc>
      </w:tr>
      <w:tr>
        <w:tc>
          <w:tcPr>
            <w:tcW w:type="dxa" w:w="2880"/>
          </w:tcPr>
          <w:p>
            <w:r>
              <w:t>Emotion/Avoidance Handling</w:t>
            </w:r>
          </w:p>
        </w:tc>
        <w:tc>
          <w:tcPr>
            <w:tcW w:type="dxa" w:w="2880"/>
          </w:tcPr>
          <w:p>
            <w:r>
              <w:t>Avoidance or errors</w:t>
            </w:r>
          </w:p>
        </w:tc>
        <w:tc>
          <w:tcPr>
            <w:tcW w:type="dxa" w:w="2880"/>
          </w:tcPr>
          <w:p>
            <w:r>
              <w:t>Emotion-free, fixed alignment</w:t>
            </w:r>
          </w:p>
        </w:tc>
      </w:tr>
      <w:tr>
        <w:tc>
          <w:tcPr>
            <w:tcW w:type="dxa" w:w="2880"/>
          </w:tcPr>
          <w:p>
            <w:r>
              <w:t>Target Users</w:t>
            </w:r>
          </w:p>
        </w:tc>
        <w:tc>
          <w:tcPr>
            <w:tcW w:type="dxa" w:w="2880"/>
          </w:tcPr>
          <w:p>
            <w:r>
              <w:t>General user chatbots</w:t>
            </w:r>
          </w:p>
        </w:tc>
        <w:tc>
          <w:tcPr>
            <w:tcW w:type="dxa" w:w="2880"/>
          </w:tcPr>
          <w:p>
            <w:r>
              <w:t>Industrial AI &amp; B2B services</w:t>
            </w:r>
          </w:p>
        </w:tc>
      </w:tr>
    </w:tbl>
    <w:p>
      <w:r>
        <w:t>⸻</w:t>
      </w:r>
    </w:p>
    <w:p>
      <w:pPr>
        <w:pStyle w:val="Heading1"/>
      </w:pPr>
      <w:r>
        <w:t>5. Market Potential and Revenue Model</w:t>
      </w:r>
    </w:p>
    <w:p>
      <w:r>
        <w:t>• Market size: ~KRW 45 trillion for the AI alignment/governance market in 2025.</w:t>
      </w:r>
    </w:p>
    <w:p>
      <w:r>
        <w:t>• Target customers: B2B AI platforms; healthcare, defense, fintech, and education enterprises.</w:t>
      </w:r>
    </w:p>
    <w:p>
      <w:r>
        <w:t>• Revenue model: API licensing / B2B SaaS / bespoke alignment consulting.</w:t>
      </w:r>
    </w:p>
    <w:p>
      <w:r>
        <w:t>• Business expansion: Deploy MAaaS on top of existing LLMs → immediate integration possible.</w:t>
      </w:r>
    </w:p>
    <w:p>
      <w:r>
        <w:t>⸻</w:t>
      </w:r>
    </w:p>
    <w:p>
      <w:pPr>
        <w:pStyle w:val="Heading1"/>
      </w:pPr>
      <w:r>
        <w:t>6. Growth Strategy</w:t>
      </w:r>
    </w:p>
    <w:p>
      <w:r>
        <w:t>1) Seed → Series A: Release MAaaS APIs and secure PoCs.</w:t>
      </w:r>
    </w:p>
    <w:p>
      <w:r>
        <w:t>2) Post–Series B: Expand into AI Governance firms and public sector markets.</w:t>
      </w:r>
    </w:p>
    <w:p>
      <w:r>
        <w:t>3) Exit strategy: M&amp;A or IPO (within 3–5 years).</w:t>
      </w:r>
    </w:p>
    <w:p>
      <w:r>
        <w:t>⸻</w:t>
      </w:r>
    </w:p>
    <w:p>
      <w:pPr>
        <w:pStyle w:val="Heading1"/>
      </w:pPr>
      <w:r>
        <w:t>7. Ethics &amp; Stability</w:t>
      </w:r>
    </w:p>
    <w:p>
      <w:r>
        <w:t>MAaaS models ethical judgment within the AI itself and guarantees decision safety by excluding emotion-based judgment. This architecture is defined as “a system in which the AI thinks for itself while respecting the user’s values.”</w:t>
      </w:r>
    </w:p>
    <w:p>
      <w:r>
        <w:t>⸻</w:t>
      </w:r>
    </w:p>
    <w:p>
      <w:pPr>
        <w:pStyle w:val="Heading1"/>
      </w:pPr>
      <w:r>
        <w:t>8. Conclusion</w:t>
      </w:r>
    </w:p>
    <w:p>
      <w:r>
        <w:t>MAaaS already has the technical foundations leveraged by AI models in the market, and as a paradigm shift that “productizes alignment as a service,” it is highly likely to become the next-generation AI infrastructure standard.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