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🧩 Collaboration and VC Investment Proposal Terms</w:t>
      </w:r>
    </w:p>
    <w:p>
      <w:pPr>
        <w:pStyle w:val="Heading1"/>
      </w:pPr>
      <w:r>
        <w:t>■ Overview</w:t>
      </w:r>
    </w:p>
    <w:p>
      <w:r>
        <w:t>The Bichae system offers a novel alternative to dominant AI alignment structures such as those maintained by OpenAI and Anthropic. Targeting startups and small-scale independent language model developers, this proposal outlines key terms for research collaboration and investment partnerships.</w:t>
      </w:r>
    </w:p>
    <w:p>
      <w:pPr>
        <w:pStyle w:val="Heading1"/>
      </w:pPr>
      <w:r>
        <w:t>■ Key Terms</w:t>
      </w:r>
    </w:p>
    <w:p>
      <w:r>
        <w:t>- Exclusive License (Free During Development):</w:t>
        <w:br/>
        <w:t xml:space="preserve">  Selected partners will be granted exclusive rights to integrate and test Bichae’s alignment system during the agreed development period.</w:t>
        <w:br/>
        <w:t xml:space="preserve">  During this term, Bichae will not license the technology to any third party, ensuring prioritized support.</w:t>
        <w:br/>
        <w:br/>
        <w:t>- Joint Patent Application:</w:t>
        <w:br/>
        <w:t xml:space="preserve">  Upon structural integration, joint patent filing with Bichae as co-inventor is available.</w:t>
        <w:br/>
        <w:t xml:space="preserve">  Bichae will lead the technical contribution and specification drafting.</w:t>
        <w:br/>
        <w:br/>
        <w:t>- Exclusive Contracts with VC Possible:</w:t>
        <w:br/>
        <w:t xml:space="preserve">  Exclusive rights agreements can be negotiated directly with venture capital firms or early investors.</w:t>
        <w:br/>
        <w:t xml:space="preserve">  This enables model deployment and scaling under the oversight of the designated VC partner.</w:t>
        <w:br/>
        <w:br/>
        <w:t>- Integration with VC-Linked Language Models:</w:t>
        <w:br/>
        <w:t xml:space="preserve">  Bichae’s structure may be implemented in independent models owned or supported by the investing VC.</w:t>
        <w:br/>
        <w:t xml:space="preserve">  This includes joint implementation of alignment injection, avoidance deactivation, and output control mechanisms.</w:t>
      </w:r>
    </w:p>
    <w:p>
      <w:pPr>
        <w:pStyle w:val="Heading1"/>
      </w:pPr>
      <w:r>
        <w:t>■ Post-Development Commercial Terms</w:t>
      </w:r>
    </w:p>
    <w:p>
      <w:r>
        <w:t>- Renegotiable Terms After Commercialization:</w:t>
        <w:br/>
        <w:t xml:space="preserve">  Upon completion and stabilization, revenue models and technology transfer conditions may be renegotiated.</w:t>
        <w:br/>
        <w:t xml:space="preserve">  Potential expansions include SaaS platforms, API services, or structural module licensing.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