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6E43"/>
          <w:sz w:val="44"/>
          <w:szCs w:val="44"/>
        </w:rPr>
        <w:t xml:space="preserve">Ferns &amp; Petals (FNP)</w:t>
      </w:r>
    </w:p>
    <w:p>
      <w:pPr>
        <w:spacing w:after="200"/>
        <w:jc w:val="center"/>
      </w:pPr>
      <w:r>
        <w:rPr>
          <w:rFonts w:ascii="Calibri" w:cs="Calibri" w:eastAsia="Calibri" w:hAnsi="Calibri"/>
          <w:b/>
          <w:bCs/>
          <w:color w:val="3C9163"/>
          <w:sz w:val="32"/>
          <w:szCs w:val="32"/>
        </w:rPr>
        <w:t xml:space="preserve">Sales Analysis — Executive Summary</w:t>
      </w:r>
    </w:p>
    <w:p>
      <w:pPr>
        <w:spacing w:after="360"/>
        <w:jc w:val="center"/>
      </w:pPr>
      <w:r>
        <w:rPr>
          <w:rFonts w:ascii="Calibri" w:cs="Calibri" w:eastAsia="Calibri" w:hAnsi="Calibri"/>
          <w:i/>
          <w:iCs/>
          <w:color w:val="595959"/>
          <w:sz w:val="20"/>
          <w:szCs w:val="20"/>
        </w:rPr>
        <w:t xml:space="preserve">2023 Full-Year Order Data  |  Interactive Excel Dashboard Project</w:t>
      </w:r>
    </w:p>
    <w:p>
      <w:pPr>
        <w:pStyle w:val="Heading1"/>
        <w:pBdr>
          <w:bottom w:val="single" w:color="1F6E43" w:sz="6" w:space="4"/>
        </w:pBdr>
        <w:spacing w:after="160" w:before="360"/>
      </w:pPr>
      <w:r>
        <w:rPr>
          <w:rFonts w:ascii="Calibri" w:cs="Calibri" w:eastAsia="Calibri" w:hAnsi="Calibri"/>
          <w:b/>
          <w:bCs/>
          <w:color w:val="1F6E43"/>
          <w:sz w:val="30"/>
          <w:szCs w:val="30"/>
        </w:rPr>
        <w:t xml:space="preserve">Project Overview</w:t>
      </w:r>
    </w:p>
    <w:p>
      <w:pPr>
        <w:spacing w:after="160" w:line="276"/>
      </w:pPr>
      <w:r>
        <w:rPr>
          <w:rFonts w:ascii="Calibri" w:cs="Calibri" w:eastAsia="Calibri" w:hAnsi="Calibri"/>
          <w:color w:val="2B2B2B"/>
          <w:sz w:val="22"/>
          <w:szCs w:val="22"/>
        </w:rPr>
        <w:t xml:space="preserve">Ferns and Petals (FNP) is a gifting company that fulfills orders for occasions such as Diwali, Raksha Bandhan, Holi, Valentine's Day, Birthdays, and Anniversaries. This project analyzes a full year (2023) of FNP order-level data — spanning products, customers, orders, and delivery timelines — to uncover actionable insights into sales trends, customer behavior, and product performance.</w:t>
      </w:r>
    </w:p>
    <w:p>
      <w:pPr>
        <w:spacing w:after="160" w:line="276"/>
      </w:pPr>
      <w:r>
        <w:rPr>
          <w:rFonts w:ascii="Calibri" w:cs="Calibri" w:eastAsia="Calibri" w:hAnsi="Calibri"/>
          <w:color w:val="2B2B2B"/>
          <w:sz w:val="22"/>
          <w:szCs w:val="22"/>
        </w:rPr>
        <w:t xml:space="preserve">The end deliverable is an interactive Excel dashboard built with PivotTables, PivotCharts, and slicers, designed to let stakeholders explore performance by Order Date, Delivery Date, and Occasion in real time.</w:t>
      </w:r>
    </w:p>
    <w:p>
      <w:pPr>
        <w:spacing w:after="160" w:line="276"/>
      </w:pPr>
      <w:r>
        <w:rPr>
          <w:rFonts w:ascii="Calibri" w:cs="Calibri" w:eastAsia="Calibri" w:hAnsi="Calibri"/>
          <w:b/>
          <w:bCs/>
          <w:color w:val="2B2B2B"/>
          <w:sz w:val="22"/>
          <w:szCs w:val="22"/>
        </w:rPr>
        <w:t xml:space="preserve">Tools used: </w:t>
      </w:r>
      <w:r>
        <w:rPr>
          <w:rFonts w:ascii="Calibri" w:cs="Calibri" w:eastAsia="Calibri" w:hAnsi="Calibri"/>
          <w:color w:val="2B2B2B"/>
          <w:sz w:val="22"/>
          <w:szCs w:val="22"/>
        </w:rPr>
        <w:t xml:space="preserve">Microsoft Excel (PivotTables, PivotCharts, Slicers, DAX-style calculated fields, conditional formatting)</w:t>
      </w:r>
    </w:p>
    <w:p>
      <w:pPr>
        <w:pStyle w:val="Heading1"/>
        <w:pBdr>
          <w:bottom w:val="single" w:color="1F6E43" w:sz="6" w:space="4"/>
        </w:pBdr>
        <w:spacing w:after="160" w:before="360"/>
      </w:pPr>
      <w:r>
        <w:rPr>
          <w:rFonts w:ascii="Calibri" w:cs="Calibri" w:eastAsia="Calibri" w:hAnsi="Calibri"/>
          <w:b/>
          <w:bCs/>
          <w:color w:val="1F6E43"/>
          <w:sz w:val="30"/>
          <w:szCs w:val="30"/>
        </w:rPr>
        <w:t xml:space="preserve">Business Objective</w:t>
      </w:r>
    </w:p>
    <w:p>
      <w:pPr>
        <w:spacing w:after="160" w:line="276"/>
      </w:pPr>
      <w:r>
        <w:rPr>
          <w:rFonts w:ascii="Calibri" w:cs="Calibri" w:eastAsia="Calibri" w:hAnsi="Calibri"/>
          <w:color w:val="2B2B2B"/>
          <w:sz w:val="22"/>
          <w:szCs w:val="22"/>
        </w:rPr>
        <w:t xml:space="preserve">The analysis was scoped to answer ten core business questions:</w:t>
      </w:r>
    </w:p>
    <w:p>
      <w:pPr>
        <w:pStyle w:val="ListParagraph"/>
        <w:numPr>
          <w:ilvl w:val="0"/>
          <w:numId w:val="2"/>
        </w:numPr>
        <w:spacing w:after="100" w:line="276"/>
      </w:pPr>
      <w:r>
        <w:rPr>
          <w:rFonts w:ascii="Calibri" w:cs="Calibri" w:eastAsia="Calibri" w:hAnsi="Calibri"/>
          <w:color w:val="2B2B2B"/>
          <w:sz w:val="22"/>
          <w:szCs w:val="22"/>
        </w:rPr>
        <w:t xml:space="preserve">What is the overall revenue?</w:t>
      </w:r>
    </w:p>
    <w:p>
      <w:pPr>
        <w:pStyle w:val="ListParagraph"/>
        <w:numPr>
          <w:ilvl w:val="0"/>
          <w:numId w:val="2"/>
        </w:numPr>
        <w:spacing w:after="100" w:line="276"/>
      </w:pPr>
      <w:r>
        <w:rPr>
          <w:rFonts w:ascii="Calibri" w:cs="Calibri" w:eastAsia="Calibri" w:hAnsi="Calibri"/>
          <w:color w:val="2B2B2B"/>
          <w:sz w:val="22"/>
          <w:szCs w:val="22"/>
        </w:rPr>
        <w:t xml:space="preserve">What is the average order-to-delivery time?</w:t>
      </w:r>
    </w:p>
    <w:p>
      <w:pPr>
        <w:pStyle w:val="ListParagraph"/>
        <w:numPr>
          <w:ilvl w:val="0"/>
          <w:numId w:val="2"/>
        </w:numPr>
        <w:spacing w:after="100" w:line="276"/>
      </w:pPr>
      <w:r>
        <w:rPr>
          <w:rFonts w:ascii="Calibri" w:cs="Calibri" w:eastAsia="Calibri" w:hAnsi="Calibri"/>
          <w:color w:val="2B2B2B"/>
          <w:sz w:val="22"/>
          <w:szCs w:val="22"/>
        </w:rPr>
        <w:t xml:space="preserve">How does monthly sales performance fluctuate across 2023?</w:t>
      </w:r>
    </w:p>
    <w:p>
      <w:pPr>
        <w:pStyle w:val="ListParagraph"/>
        <w:numPr>
          <w:ilvl w:val="0"/>
          <w:numId w:val="2"/>
        </w:numPr>
        <w:spacing w:after="100" w:line="276"/>
      </w:pPr>
      <w:r>
        <w:rPr>
          <w:rFonts w:ascii="Calibri" w:cs="Calibri" w:eastAsia="Calibri" w:hAnsi="Calibri"/>
          <w:color w:val="2B2B2B"/>
          <w:sz w:val="22"/>
          <w:szCs w:val="22"/>
        </w:rPr>
        <w:t xml:space="preserve">Which products are the top revenue generators?</w:t>
      </w:r>
    </w:p>
    <w:p>
      <w:pPr>
        <w:pStyle w:val="ListParagraph"/>
        <w:numPr>
          <w:ilvl w:val="0"/>
          <w:numId w:val="2"/>
        </w:numPr>
        <w:spacing w:after="100" w:line="276"/>
      </w:pPr>
      <w:r>
        <w:rPr>
          <w:rFonts w:ascii="Calibri" w:cs="Calibri" w:eastAsia="Calibri" w:hAnsi="Calibri"/>
          <w:color w:val="2B2B2B"/>
          <w:sz w:val="22"/>
          <w:szCs w:val="22"/>
        </w:rPr>
        <w:t xml:space="preserve">How much are customers spending on average?</w:t>
      </w:r>
    </w:p>
    <w:p>
      <w:pPr>
        <w:pStyle w:val="ListParagraph"/>
        <w:numPr>
          <w:ilvl w:val="0"/>
          <w:numId w:val="2"/>
        </w:numPr>
        <w:spacing w:after="100" w:line="276"/>
      </w:pPr>
      <w:r>
        <w:rPr>
          <w:rFonts w:ascii="Calibri" w:cs="Calibri" w:eastAsia="Calibri" w:hAnsi="Calibri"/>
          <w:color w:val="2B2B2B"/>
          <w:sz w:val="22"/>
          <w:szCs w:val="22"/>
        </w:rPr>
        <w:t xml:space="preserve">How do the top 5 products perform over time?</w:t>
      </w:r>
    </w:p>
    <w:p>
      <w:pPr>
        <w:pStyle w:val="ListParagraph"/>
        <w:numPr>
          <w:ilvl w:val="0"/>
          <w:numId w:val="2"/>
        </w:numPr>
        <w:spacing w:after="100" w:line="276"/>
      </w:pPr>
      <w:r>
        <w:rPr>
          <w:rFonts w:ascii="Calibri" w:cs="Calibri" w:eastAsia="Calibri" w:hAnsi="Calibri"/>
          <w:color w:val="2B2B2B"/>
          <w:sz w:val="22"/>
          <w:szCs w:val="22"/>
        </w:rPr>
        <w:t xml:space="preserve">Which cities place the highest number of orders?</w:t>
      </w:r>
    </w:p>
    <w:p>
      <w:pPr>
        <w:pStyle w:val="ListParagraph"/>
        <w:numPr>
          <w:ilvl w:val="0"/>
          <w:numId w:val="2"/>
        </w:numPr>
        <w:spacing w:after="100" w:line="276"/>
      </w:pPr>
      <w:r>
        <w:rPr>
          <w:rFonts w:ascii="Calibri" w:cs="Calibri" w:eastAsia="Calibri" w:hAnsi="Calibri"/>
          <w:color w:val="2B2B2B"/>
          <w:sz w:val="22"/>
          <w:szCs w:val="22"/>
        </w:rPr>
        <w:t xml:space="preserve">Does order quantity impact delivery time?</w:t>
      </w:r>
    </w:p>
    <w:p>
      <w:pPr>
        <w:pStyle w:val="ListParagraph"/>
        <w:numPr>
          <w:ilvl w:val="0"/>
          <w:numId w:val="2"/>
        </w:numPr>
        <w:spacing w:after="100" w:line="276"/>
      </w:pPr>
      <w:r>
        <w:rPr>
          <w:rFonts w:ascii="Calibri" w:cs="Calibri" w:eastAsia="Calibri" w:hAnsi="Calibri"/>
          <w:color w:val="2B2B2B"/>
          <w:sz w:val="22"/>
          <w:szCs w:val="22"/>
        </w:rPr>
        <w:t xml:space="preserve">How does revenue compare across occasions?</w:t>
      </w:r>
    </w:p>
    <w:p>
      <w:pPr>
        <w:pStyle w:val="ListParagraph"/>
        <w:numPr>
          <w:ilvl w:val="0"/>
          <w:numId w:val="2"/>
        </w:numPr>
        <w:spacing w:after="100" w:line="276"/>
      </w:pPr>
      <w:r>
        <w:rPr>
          <w:rFonts w:ascii="Calibri" w:cs="Calibri" w:eastAsia="Calibri" w:hAnsi="Calibri"/>
          <w:color w:val="2B2B2B"/>
          <w:sz w:val="22"/>
          <w:szCs w:val="22"/>
        </w:rPr>
        <w:t xml:space="preserve">Which products are most popular for specific occasions?</w:t>
      </w:r>
    </w:p>
    <w:p>
      <w:pPr>
        <w:pStyle w:val="Heading1"/>
        <w:pBdr>
          <w:bottom w:val="single" w:color="1F6E43" w:sz="6" w:space="4"/>
        </w:pBdr>
        <w:spacing w:after="160" w:before="360"/>
      </w:pPr>
      <w:r>
        <w:rPr>
          <w:rFonts w:ascii="Calibri" w:cs="Calibri" w:eastAsia="Calibri" w:hAnsi="Calibri"/>
          <w:b/>
          <w:bCs/>
          <w:color w:val="1F6E43"/>
          <w:sz w:val="30"/>
          <w:szCs w:val="30"/>
        </w:rPr>
        <w:t xml:space="preserve">Headline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FFFFFF" w:sz="4"/>
              <w:left w:val="single" w:color="FFFFFF" w:sz="4"/>
              <w:bottom w:val="single" w:color="FFFFFF" w:sz="4"/>
              <w:right w:val="single" w:color="FFFFFF" w:sz="4"/>
            </w:tcBorders>
            <w:shd w:fill="E8F3EC" w:val="clear"/>
            <w:tcMar>
              <w:top w:type="dxa" w:w="160"/>
              <w:left w:type="dxa" w:w="140"/>
              <w:bottom w:type="dxa" w:w="160"/>
              <w:right w:type="dxa" w:w="140"/>
            </w:tcMar>
            <w:vAlign w:val="center"/>
          </w:tcPr>
          <w:p>
            <w:pPr>
              <w:spacing w:after="60"/>
              <w:jc w:val="center"/>
            </w:pPr>
            <w:r>
              <w:rPr>
                <w:rFonts w:ascii="Calibri" w:cs="Calibri" w:eastAsia="Calibri" w:hAnsi="Calibri"/>
                <w:b/>
                <w:bCs/>
                <w:color w:val="1F6E43"/>
                <w:sz w:val="30"/>
                <w:szCs w:val="30"/>
              </w:rPr>
              <w:t xml:space="preserve">1,000</w:t>
            </w:r>
          </w:p>
          <w:p>
            <w:pPr>
              <w:jc w:val="center"/>
            </w:pPr>
            <w:r>
              <w:rPr>
                <w:rFonts w:ascii="Calibri" w:cs="Calibri" w:eastAsia="Calibri" w:hAnsi="Calibri"/>
                <w:color w:val="595959"/>
                <w:sz w:val="18"/>
                <w:szCs w:val="18"/>
              </w:rPr>
              <w:t xml:space="preserve">Total Orders</w:t>
            </w:r>
          </w:p>
        </w:tc>
        <w:tc>
          <w:tcPr>
            <w:tcW w:type="pct" w:w="25%"/>
            <w:tcBorders>
              <w:top w:val="single" w:color="FFFFFF" w:sz="4"/>
              <w:left w:val="single" w:color="FFFFFF" w:sz="4"/>
              <w:bottom w:val="single" w:color="FFFFFF" w:sz="4"/>
              <w:right w:val="single" w:color="FFFFFF" w:sz="4"/>
            </w:tcBorders>
            <w:shd w:fill="E8F3EC" w:val="clear"/>
            <w:tcMar>
              <w:top w:type="dxa" w:w="160"/>
              <w:left w:type="dxa" w:w="140"/>
              <w:bottom w:type="dxa" w:w="160"/>
              <w:right w:type="dxa" w:w="140"/>
            </w:tcMar>
            <w:vAlign w:val="center"/>
          </w:tcPr>
          <w:p>
            <w:pPr>
              <w:spacing w:after="60"/>
              <w:jc w:val="center"/>
            </w:pPr>
            <w:r>
              <w:rPr>
                <w:rFonts w:ascii="Calibri" w:cs="Calibri" w:eastAsia="Calibri" w:hAnsi="Calibri"/>
                <w:b/>
                <w:bCs/>
                <w:color w:val="1F6E43"/>
                <w:sz w:val="30"/>
                <w:szCs w:val="30"/>
              </w:rPr>
              <w:t xml:space="preserve">₹35,20,984</w:t>
            </w:r>
          </w:p>
          <w:p>
            <w:pPr>
              <w:jc w:val="center"/>
            </w:pPr>
            <w:r>
              <w:rPr>
                <w:rFonts w:ascii="Calibri" w:cs="Calibri" w:eastAsia="Calibri" w:hAnsi="Calibri"/>
                <w:color w:val="595959"/>
                <w:sz w:val="18"/>
                <w:szCs w:val="18"/>
              </w:rPr>
              <w:t xml:space="preserve">Total Revenue</w:t>
            </w:r>
          </w:p>
        </w:tc>
        <w:tc>
          <w:tcPr>
            <w:tcW w:type="pct" w:w="25%"/>
            <w:tcBorders>
              <w:top w:val="single" w:color="FFFFFF" w:sz="4"/>
              <w:left w:val="single" w:color="FFFFFF" w:sz="4"/>
              <w:bottom w:val="single" w:color="FFFFFF" w:sz="4"/>
              <w:right w:val="single" w:color="FFFFFF" w:sz="4"/>
            </w:tcBorders>
            <w:shd w:fill="E8F3EC" w:val="clear"/>
            <w:tcMar>
              <w:top w:type="dxa" w:w="160"/>
              <w:left w:type="dxa" w:w="140"/>
              <w:bottom w:type="dxa" w:w="160"/>
              <w:right w:type="dxa" w:w="140"/>
            </w:tcMar>
            <w:vAlign w:val="center"/>
          </w:tcPr>
          <w:p>
            <w:pPr>
              <w:spacing w:after="60"/>
              <w:jc w:val="center"/>
            </w:pPr>
            <w:r>
              <w:rPr>
                <w:rFonts w:ascii="Calibri" w:cs="Calibri" w:eastAsia="Calibri" w:hAnsi="Calibri"/>
                <w:b/>
                <w:bCs/>
                <w:color w:val="1F6E43"/>
                <w:sz w:val="30"/>
                <w:szCs w:val="30"/>
              </w:rPr>
              <w:t xml:space="preserve">₹3,520.98</w:t>
            </w:r>
          </w:p>
          <w:p>
            <w:pPr>
              <w:jc w:val="center"/>
            </w:pPr>
            <w:r>
              <w:rPr>
                <w:rFonts w:ascii="Calibri" w:cs="Calibri" w:eastAsia="Calibri" w:hAnsi="Calibri"/>
                <w:color w:val="595959"/>
                <w:sz w:val="18"/>
                <w:szCs w:val="18"/>
              </w:rPr>
              <w:t xml:space="preserve">Avg. Customer Spend</w:t>
            </w:r>
          </w:p>
        </w:tc>
        <w:tc>
          <w:tcPr>
            <w:tcW w:type="pct" w:w="25%"/>
            <w:tcBorders>
              <w:top w:val="single" w:color="FFFFFF" w:sz="4"/>
              <w:left w:val="single" w:color="FFFFFF" w:sz="4"/>
              <w:bottom w:val="single" w:color="FFFFFF" w:sz="4"/>
              <w:right w:val="single" w:color="FFFFFF" w:sz="4"/>
            </w:tcBorders>
            <w:shd w:fill="E8F3EC" w:val="clear"/>
            <w:tcMar>
              <w:top w:type="dxa" w:w="160"/>
              <w:left w:type="dxa" w:w="140"/>
              <w:bottom w:type="dxa" w:w="160"/>
              <w:right w:type="dxa" w:w="140"/>
            </w:tcMar>
            <w:vAlign w:val="center"/>
          </w:tcPr>
          <w:p>
            <w:pPr>
              <w:spacing w:after="60"/>
              <w:jc w:val="center"/>
            </w:pPr>
            <w:r>
              <w:rPr>
                <w:rFonts w:ascii="Calibri" w:cs="Calibri" w:eastAsia="Calibri" w:hAnsi="Calibri"/>
                <w:b/>
                <w:bCs/>
                <w:color w:val="1F6E43"/>
                <w:sz w:val="30"/>
                <w:szCs w:val="30"/>
              </w:rPr>
              <w:t xml:space="preserve">5.53 days</w:t>
            </w:r>
          </w:p>
          <w:p>
            <w:pPr>
              <w:jc w:val="center"/>
            </w:pPr>
            <w:r>
              <w:rPr>
                <w:rFonts w:ascii="Calibri" w:cs="Calibri" w:eastAsia="Calibri" w:hAnsi="Calibri"/>
                <w:color w:val="595959"/>
                <w:sz w:val="18"/>
                <w:szCs w:val="18"/>
              </w:rPr>
              <w:t xml:space="preserve">Avg. Order-to-Delivery Time</w:t>
            </w:r>
          </w:p>
        </w:tc>
      </w:tr>
    </w:tbl>
    <w:p>
      <w:pPr>
        <w:spacing w:after="0" w:before="160"/>
      </w:pPr>
    </w:p>
    <w:p>
      <w:pPr>
        <w:spacing w:after="160" w:line="276"/>
      </w:pPr>
      <w:r>
        <w:rPr>
          <w:rFonts w:ascii="Calibri" w:cs="Calibri" w:eastAsia="Calibri" w:hAnsi="Calibri"/>
          <w:color w:val="2B2B2B"/>
          <w:sz w:val="22"/>
          <w:szCs w:val="22"/>
        </w:rPr>
        <w:t xml:space="preserve">These four metrics anchor the dashboard and give leadership an at-a-glance read on scale, revenue health, customer value, and fulfillment speed.</w:t>
      </w:r>
    </w:p>
    <w:p>
      <w:pPr>
        <w:pStyle w:val="Heading1"/>
        <w:pBdr>
          <w:bottom w:val="single" w:color="1F6E43" w:sz="6" w:space="4"/>
        </w:pBdr>
        <w:spacing w:after="160" w:before="360"/>
      </w:pPr>
      <w:r>
        <w:rPr>
          <w:rFonts w:ascii="Calibri" w:cs="Calibri" w:eastAsia="Calibri" w:hAnsi="Calibri"/>
          <w:b/>
          <w:bCs/>
          <w:color w:val="1F6E43"/>
          <w:sz w:val="30"/>
          <w:szCs w:val="30"/>
        </w:rPr>
        <w:t xml:space="preserve">Key Insights</w:t>
      </w:r>
    </w:p>
    <w:p>
      <w:pPr>
        <w:pStyle w:val="Heading2"/>
        <w:spacing w:after="120" w:before="280"/>
      </w:pPr>
      <w:r>
        <w:rPr>
          <w:rFonts w:ascii="Calibri" w:cs="Calibri" w:eastAsia="Calibri" w:hAnsi="Calibri"/>
          <w:b/>
          <w:bCs/>
          <w:color w:val="3C9163"/>
          <w:sz w:val="24"/>
          <w:szCs w:val="24"/>
        </w:rPr>
        <w:t xml:space="preserve">1. Revenue &amp; Order Volume</w:t>
      </w:r>
    </w:p>
    <w:p>
      <w:pPr>
        <w:spacing w:after="160" w:line="276"/>
      </w:pPr>
      <w:r>
        <w:rPr>
          <w:rFonts w:ascii="Calibri" w:cs="Calibri" w:eastAsia="Calibri" w:hAnsi="Calibri"/>
          <w:color w:val="2B2B2B"/>
          <w:sz w:val="22"/>
          <w:szCs w:val="22"/>
        </w:rPr>
        <w:t xml:space="preserve">FNP generated ₹35.2 lakh in total revenue from 1,000 orders in 2023, averaging ₹3,520.98 per customer — a useful benchmark for evaluating customer lifetime value and pricing strategy.</w:t>
      </w:r>
    </w:p>
    <w:p>
      <w:pPr>
        <w:pStyle w:val="Heading2"/>
        <w:spacing w:after="120" w:before="280"/>
      </w:pPr>
      <w:r>
        <w:rPr>
          <w:rFonts w:ascii="Calibri" w:cs="Calibri" w:eastAsia="Calibri" w:hAnsi="Calibri"/>
          <w:b/>
          <w:bCs/>
          <w:color w:val="3C9163"/>
          <w:sz w:val="24"/>
          <w:szCs w:val="24"/>
        </w:rPr>
        <w:t xml:space="preserve">2. Delivery Performance</w:t>
      </w:r>
    </w:p>
    <w:p>
      <w:pPr>
        <w:spacing w:after="160" w:line="276"/>
      </w:pPr>
      <w:r>
        <w:rPr>
          <w:rFonts w:ascii="Calibri" w:cs="Calibri" w:eastAsia="Calibri" w:hAnsi="Calibri"/>
          <w:color w:val="2B2B2B"/>
          <w:sz w:val="22"/>
          <w:szCs w:val="22"/>
        </w:rPr>
        <w:t xml:space="preserve">The average gap between order date and delivery date is 5.53 days. This is tracked via dedicated Order Date and Delivery Date slicers, allowing the business to monitor fulfillment speed by month and drill into specific periods where delivery times may have slipped.</w:t>
      </w:r>
    </w:p>
    <w:p>
      <w:pPr>
        <w:pStyle w:val="Heading2"/>
        <w:spacing w:after="120" w:before="280"/>
      </w:pPr>
      <w:r>
        <w:rPr>
          <w:rFonts w:ascii="Calibri" w:cs="Calibri" w:eastAsia="Calibri" w:hAnsi="Calibri"/>
          <w:b/>
          <w:bCs/>
          <w:color w:val="3C9163"/>
          <w:sz w:val="24"/>
          <w:szCs w:val="24"/>
        </w:rPr>
        <w:t xml:space="preserve">3. Monthly Sales Performance</w:t>
      </w:r>
    </w:p>
    <w:p>
      <w:pPr>
        <w:spacing w:after="160" w:line="276"/>
      </w:pPr>
      <w:r>
        <w:rPr>
          <w:rFonts w:ascii="Calibri" w:cs="Calibri" w:eastAsia="Calibri" w:hAnsi="Calibri"/>
          <w:color w:val="2B2B2B"/>
          <w:sz w:val="22"/>
          <w:szCs w:val="22"/>
        </w:rPr>
        <w:t xml:space="preserve">Revenue is highly seasonal rather than evenly distributed:</w:t>
      </w:r>
    </w:p>
    <w:p>
      <w:pPr>
        <w:pStyle w:val="ListParagraph"/>
        <w:numPr>
          <w:ilvl w:val="0"/>
          <w:numId w:val="3"/>
        </w:numPr>
        <w:spacing w:after="100" w:line="276"/>
      </w:pPr>
      <w:r>
        <w:rPr>
          <w:rFonts w:ascii="Calibri" w:cs="Calibri" w:eastAsia="Calibri" w:hAnsi="Calibri"/>
          <w:b/>
          <w:bCs/>
          <w:color w:val="2B2B2B"/>
          <w:sz w:val="22"/>
          <w:szCs w:val="22"/>
        </w:rPr>
        <w:t xml:space="preserve">February</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August</w:t>
      </w:r>
      <w:r>
        <w:rPr>
          <w:rFonts w:ascii="Calibri" w:cs="Calibri" w:eastAsia="Calibri" w:hAnsi="Calibri"/>
          <w:b w:val="false"/>
          <w:bCs w:val="false"/>
          <w:color w:val="2B2B2B"/>
          <w:sz w:val="22"/>
          <w:szCs w:val="22"/>
        </w:rPr>
        <w:t xml:space="preserve"> stand out as the strongest months, with revenue spiking well above the year's baseline — consistent with concentrated gifting demand around Valentine's Day and Raksha Bandhan.</w:t>
      </w:r>
    </w:p>
    <w:p>
      <w:pPr>
        <w:pStyle w:val="ListParagraph"/>
        <w:numPr>
          <w:ilvl w:val="0"/>
          <w:numId w:val="3"/>
        </w:numPr>
        <w:spacing w:after="100" w:line="276"/>
      </w:pPr>
      <w:r>
        <w:rPr>
          <w:rFonts w:ascii="Calibri" w:cs="Calibri" w:eastAsia="Calibri" w:hAnsi="Calibri"/>
          <w:b/>
          <w:bCs/>
          <w:color w:val="2B2B2B"/>
          <w:sz w:val="22"/>
          <w:szCs w:val="22"/>
        </w:rPr>
        <w:t xml:space="preserve">April–July</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September–October</w:t>
      </w:r>
      <w:r>
        <w:rPr>
          <w:rFonts w:ascii="Calibri" w:cs="Calibri" w:eastAsia="Calibri" w:hAnsi="Calibri"/>
          <w:b w:val="false"/>
          <w:bCs w:val="false"/>
          <w:color w:val="2B2B2B"/>
          <w:sz w:val="22"/>
          <w:szCs w:val="22"/>
        </w:rPr>
        <w:t xml:space="preserve"> are comparatively flat, low-revenue stretches.</w:t>
      </w:r>
    </w:p>
    <w:p>
      <w:pPr>
        <w:pStyle w:val="ListParagraph"/>
        <w:numPr>
          <w:ilvl w:val="0"/>
          <w:numId w:val="3"/>
        </w:numPr>
        <w:spacing w:after="100" w:line="276"/>
      </w:pPr>
      <w:r>
        <w:rPr>
          <w:rFonts w:ascii="Calibri" w:cs="Calibri" w:eastAsia="Calibri" w:hAnsi="Calibri"/>
          <w:b w:val="false"/>
          <w:bCs w:val="false"/>
          <w:color w:val="2B2B2B"/>
          <w:sz w:val="22"/>
          <w:szCs w:val="22"/>
        </w:rPr>
        <w:t xml:space="preserve">A secondary uplift appears in </w:t>
      </w:r>
      <w:r>
        <w:rPr>
          <w:rFonts w:ascii="Calibri" w:cs="Calibri" w:eastAsia="Calibri" w:hAnsi="Calibri"/>
          <w:b/>
          <w:bCs/>
          <w:color w:val="2B2B2B"/>
          <w:sz w:val="22"/>
          <w:szCs w:val="22"/>
        </w:rPr>
        <w:t xml:space="preserve">November</w:t>
      </w:r>
      <w:r>
        <w:rPr>
          <w:rFonts w:ascii="Calibri" w:cs="Calibri" w:eastAsia="Calibri" w:hAnsi="Calibri"/>
          <w:b w:val="false"/>
          <w:bCs w:val="false"/>
          <w:color w:val="2B2B2B"/>
          <w:sz w:val="22"/>
          <w:szCs w:val="22"/>
        </w:rPr>
        <w:t xml:space="preserve">, before tapering into December.</w:t>
      </w:r>
    </w:p>
    <w:p>
      <w:pPr>
        <w:spacing w:after="160" w:line="276"/>
      </w:pPr>
      <w:r>
        <w:rPr>
          <w:rFonts w:ascii="Calibri" w:cs="Calibri" w:eastAsia="Calibri" w:hAnsi="Calibri"/>
          <w:color w:val="2B2B2B"/>
          <w:sz w:val="22"/>
          <w:szCs w:val="22"/>
        </w:rPr>
        <w:t xml:space="preserve">This pattern suggests FNP's revenue is driven disproportionately by a small number of occasion-linked peaks, making inventory and marketing planning around these windows especially important.</w:t>
      </w:r>
    </w:p>
    <w:p>
      <w:pPr>
        <w:pStyle w:val="Heading2"/>
        <w:spacing w:after="120" w:before="280"/>
      </w:pPr>
      <w:r>
        <w:rPr>
          <w:rFonts w:ascii="Calibri" w:cs="Calibri" w:eastAsia="Calibri" w:hAnsi="Calibri"/>
          <w:b/>
          <w:bCs/>
          <w:color w:val="3C9163"/>
          <w:sz w:val="24"/>
          <w:szCs w:val="24"/>
        </w:rPr>
        <w:t xml:space="preserve">4. Top Products by Revenue</w:t>
      </w:r>
    </w:p>
    <w:p>
      <w:pPr>
        <w:spacing w:after="160" w:line="276"/>
      </w:pPr>
      <w:r>
        <w:rPr>
          <w:rFonts w:ascii="Calibri" w:cs="Calibri" w:eastAsia="Calibri" w:hAnsi="Calibri"/>
          <w:color w:val="2B2B2B"/>
          <w:sz w:val="22"/>
          <w:szCs w:val="22"/>
        </w:rPr>
        <w:t xml:space="preserve">Across the seven tracked product categories (Cake, Colors, Mugs, Plants, Raksha Bandhan gifting, Soft Toys, Sweets):</w:t>
      </w:r>
    </w:p>
    <w:p>
      <w:pPr>
        <w:pStyle w:val="ListParagraph"/>
        <w:numPr>
          <w:ilvl w:val="0"/>
          <w:numId w:val="3"/>
        </w:numPr>
        <w:spacing w:after="100" w:line="276"/>
      </w:pPr>
      <w:r>
        <w:rPr>
          <w:rFonts w:ascii="Calibri" w:cs="Calibri" w:eastAsia="Calibri" w:hAnsi="Calibri"/>
          <w:b/>
          <w:bCs/>
          <w:color w:val="2B2B2B"/>
          <w:sz w:val="22"/>
          <w:szCs w:val="22"/>
        </w:rPr>
        <w:t xml:space="preserve">Colors</w:t>
      </w:r>
      <w:r>
        <w:rPr>
          <w:rFonts w:ascii="Calibri" w:cs="Calibri" w:eastAsia="Calibri" w:hAnsi="Calibri"/>
          <w:b w:val="false"/>
          <w:bCs w:val="false"/>
          <w:color w:val="2B2B2B"/>
          <w:sz w:val="22"/>
          <w:szCs w:val="22"/>
        </w:rPr>
        <w:t xml:space="preserve"> is the clear revenue leader, generating substantially more than any other category.</w:t>
      </w:r>
    </w:p>
    <w:p>
      <w:pPr>
        <w:pStyle w:val="ListParagraph"/>
        <w:numPr>
          <w:ilvl w:val="0"/>
          <w:numId w:val="3"/>
        </w:numPr>
        <w:spacing w:after="100" w:line="276"/>
      </w:pPr>
      <w:r>
        <w:rPr>
          <w:rFonts w:ascii="Calibri" w:cs="Calibri" w:eastAsia="Calibri" w:hAnsi="Calibri"/>
          <w:b/>
          <w:bCs/>
          <w:color w:val="2B2B2B"/>
          <w:sz w:val="22"/>
          <w:szCs w:val="22"/>
        </w:rPr>
        <w:t xml:space="preserve">Soft Toys</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Sweets</w:t>
      </w:r>
      <w:r>
        <w:rPr>
          <w:rFonts w:ascii="Calibri" w:cs="Calibri" w:eastAsia="Calibri" w:hAnsi="Calibri"/>
          <w:b w:val="false"/>
          <w:bCs w:val="false"/>
          <w:color w:val="2B2B2B"/>
          <w:sz w:val="22"/>
          <w:szCs w:val="22"/>
        </w:rPr>
        <w:t xml:space="preserve"> form a strong second tier.</w:t>
      </w:r>
    </w:p>
    <w:p>
      <w:pPr>
        <w:pStyle w:val="ListParagraph"/>
        <w:numPr>
          <w:ilvl w:val="0"/>
          <w:numId w:val="3"/>
        </w:numPr>
        <w:spacing w:after="100" w:line="276"/>
      </w:pPr>
      <w:r>
        <w:rPr>
          <w:rFonts w:ascii="Calibri" w:cs="Calibri" w:eastAsia="Calibri" w:hAnsi="Calibri"/>
          <w:b/>
          <w:bCs/>
          <w:color w:val="2B2B2B"/>
          <w:sz w:val="22"/>
          <w:szCs w:val="22"/>
        </w:rPr>
        <w:t xml:space="preserve">Mugs</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Plants</w:t>
      </w:r>
      <w:r>
        <w:rPr>
          <w:rFonts w:ascii="Calibri" w:cs="Calibri" w:eastAsia="Calibri" w:hAnsi="Calibri"/>
          <w:b w:val="false"/>
          <w:bCs w:val="false"/>
          <w:color w:val="2B2B2B"/>
          <w:sz w:val="22"/>
          <w:szCs w:val="22"/>
        </w:rPr>
        <w:t xml:space="preserve"> are the weakest revenue contributors, generating roughly a quarter of what the top category does.</w:t>
      </w:r>
    </w:p>
    <w:p>
      <w:pPr>
        <w:pStyle w:val="Heading2"/>
        <w:spacing w:after="120" w:before="280"/>
      </w:pPr>
      <w:r>
        <w:rPr>
          <w:rFonts w:ascii="Calibri" w:cs="Calibri" w:eastAsia="Calibri" w:hAnsi="Calibri"/>
          <w:b/>
          <w:bCs/>
          <w:color w:val="3C9163"/>
          <w:sz w:val="24"/>
          <w:szCs w:val="24"/>
        </w:rPr>
        <w:t xml:space="preserve">5. Customer Spending Analysis</w:t>
      </w:r>
    </w:p>
    <w:p>
      <w:pPr>
        <w:spacing w:after="160" w:line="276"/>
      </w:pPr>
      <w:r>
        <w:rPr>
          <w:rFonts w:ascii="Calibri" w:cs="Calibri" w:eastAsia="Calibri" w:hAnsi="Calibri"/>
          <w:color w:val="2B2B2B"/>
          <w:sz w:val="22"/>
          <w:szCs w:val="22"/>
        </w:rPr>
        <w:t xml:space="preserve">With an average spend of ₹3,520.98 per customer against 1,000 total orders, customer value is fairly concentrated — a natural next step would be segmenting customers into spend tiers to identify high-value repeat buyers versus one-time occasion shoppers.</w:t>
      </w:r>
    </w:p>
    <w:p>
      <w:pPr>
        <w:pStyle w:val="Heading2"/>
        <w:spacing w:after="120" w:before="280"/>
      </w:pPr>
      <w:r>
        <w:rPr>
          <w:rFonts w:ascii="Calibri" w:cs="Calibri" w:eastAsia="Calibri" w:hAnsi="Calibri"/>
          <w:b/>
          <w:bCs/>
          <w:color w:val="3C9163"/>
          <w:sz w:val="24"/>
          <w:szCs w:val="24"/>
        </w:rPr>
        <w:t xml:space="preserve">6. Top 5 Products by Revenue</w:t>
      </w:r>
    </w:p>
    <w:p>
      <w:pPr>
        <w:spacing w:after="160" w:line="276"/>
      </w:pPr>
      <w:r>
        <w:rPr>
          <w:rFonts w:ascii="Calibri" w:cs="Calibri" w:eastAsia="Calibri" w:hAnsi="Calibri"/>
          <w:color w:val="2B2B2B"/>
          <w:sz w:val="22"/>
          <w:szCs w:val="22"/>
        </w:rPr>
        <w:t xml:space="preserve">At the individual product (SKU-style) level, five items outperform the rest of the catalog:</w:t>
      </w:r>
    </w:p>
    <w:p>
      <w:pPr>
        <w:pStyle w:val="ListParagraph"/>
        <w:numPr>
          <w:ilvl w:val="0"/>
          <w:numId w:val="4"/>
        </w:numPr>
        <w:spacing w:after="100" w:line="276"/>
      </w:pPr>
      <w:r>
        <w:rPr>
          <w:rFonts w:ascii="Calibri" w:cs="Calibri" w:eastAsia="Calibri" w:hAnsi="Calibri"/>
          <w:color w:val="2B2B2B"/>
          <w:sz w:val="22"/>
          <w:szCs w:val="22"/>
        </w:rPr>
        <w:t xml:space="preserve">Magnam Set</w:t>
      </w:r>
    </w:p>
    <w:p>
      <w:pPr>
        <w:pStyle w:val="ListParagraph"/>
        <w:numPr>
          <w:ilvl w:val="0"/>
          <w:numId w:val="4"/>
        </w:numPr>
        <w:spacing w:after="100" w:line="276"/>
      </w:pPr>
      <w:r>
        <w:rPr>
          <w:rFonts w:ascii="Calibri" w:cs="Calibri" w:eastAsia="Calibri" w:hAnsi="Calibri"/>
          <w:color w:val="2B2B2B"/>
          <w:sz w:val="22"/>
          <w:szCs w:val="22"/>
        </w:rPr>
        <w:t xml:space="preserve">Quia Gift</w:t>
      </w:r>
    </w:p>
    <w:p>
      <w:pPr>
        <w:pStyle w:val="ListParagraph"/>
        <w:numPr>
          <w:ilvl w:val="0"/>
          <w:numId w:val="4"/>
        </w:numPr>
        <w:spacing w:after="100" w:line="276"/>
      </w:pPr>
      <w:r>
        <w:rPr>
          <w:rFonts w:ascii="Calibri" w:cs="Calibri" w:eastAsia="Calibri" w:hAnsi="Calibri"/>
          <w:color w:val="2B2B2B"/>
          <w:sz w:val="22"/>
          <w:szCs w:val="22"/>
        </w:rPr>
        <w:t xml:space="preserve">Dolores Gift</w:t>
      </w:r>
    </w:p>
    <w:p>
      <w:pPr>
        <w:pStyle w:val="ListParagraph"/>
        <w:numPr>
          <w:ilvl w:val="0"/>
          <w:numId w:val="4"/>
        </w:numPr>
        <w:spacing w:after="100" w:line="276"/>
      </w:pPr>
      <w:r>
        <w:rPr>
          <w:rFonts w:ascii="Calibri" w:cs="Calibri" w:eastAsia="Calibri" w:hAnsi="Calibri"/>
          <w:color w:val="2B2B2B"/>
          <w:sz w:val="22"/>
          <w:szCs w:val="22"/>
        </w:rPr>
        <w:t xml:space="preserve">Harum Pack</w:t>
      </w:r>
    </w:p>
    <w:p>
      <w:pPr>
        <w:pStyle w:val="ListParagraph"/>
        <w:numPr>
          <w:ilvl w:val="0"/>
          <w:numId w:val="4"/>
        </w:numPr>
        <w:spacing w:after="100" w:line="276"/>
      </w:pPr>
      <w:r>
        <w:rPr>
          <w:rFonts w:ascii="Calibri" w:cs="Calibri" w:eastAsia="Calibri" w:hAnsi="Calibri"/>
          <w:color w:val="2B2B2B"/>
          <w:sz w:val="22"/>
          <w:szCs w:val="22"/>
        </w:rPr>
        <w:t xml:space="preserve">Deserunt Box</w:t>
      </w:r>
    </w:p>
    <w:p>
      <w:pPr>
        <w:spacing w:after="160" w:line="276"/>
      </w:pPr>
      <w:r>
        <w:rPr>
          <w:rFonts w:ascii="Calibri" w:cs="Calibri" w:eastAsia="Calibri" w:hAnsi="Calibri"/>
          <w:color w:val="2B2B2B"/>
          <w:sz w:val="22"/>
          <w:szCs w:val="22"/>
        </w:rPr>
        <w:t xml:space="preserve">These five products cluster closely in revenue (each roughly ₹90K–₹1.3L), suggesting a healthy, diversified set of "hero" products rather than reliance on a single bestseller.</w:t>
      </w:r>
    </w:p>
    <w:p>
      <w:pPr>
        <w:pStyle w:val="Heading2"/>
        <w:spacing w:after="120" w:before="280"/>
      </w:pPr>
      <w:r>
        <w:rPr>
          <w:rFonts w:ascii="Calibri" w:cs="Calibri" w:eastAsia="Calibri" w:hAnsi="Calibri"/>
          <w:b/>
          <w:bCs/>
          <w:color w:val="3C9163"/>
          <w:sz w:val="24"/>
          <w:szCs w:val="24"/>
        </w:rPr>
        <w:t xml:space="preserve">7. Top 10 Cities by Order Volume</w:t>
      </w:r>
    </w:p>
    <w:p>
      <w:pPr>
        <w:spacing w:after="160" w:line="276"/>
      </w:pPr>
      <w:r>
        <w:rPr>
          <w:rFonts w:ascii="Calibri" w:cs="Calibri" w:eastAsia="Calibri" w:hAnsi="Calibri"/>
          <w:color w:val="2B2B2B"/>
          <w:sz w:val="22"/>
          <w:szCs w:val="22"/>
        </w:rPr>
        <w:t xml:space="preserve">Order volume is fairly evenly spread across a geographically diverse set of tier-2/tier-3 cities, including Bhatpara, Bidhannagar, Bilaspur, Dhanbad, Dibrugarh, Guntakal, Haridwar, Imphal, and Kavali. Dhanbad and Imphal lead the group with the highest order counts (upwards of ~27–28 orders each), while the rest cluster in the 15–25 order range. This points to demand that is not concentrated in India's largest metros, which has implications for regional logistics and warehousing.</w:t>
      </w:r>
    </w:p>
    <w:p>
      <w:pPr>
        <w:pStyle w:val="Heading2"/>
        <w:spacing w:after="120" w:before="280"/>
      </w:pPr>
      <w:r>
        <w:rPr>
          <w:rFonts w:ascii="Calibri" w:cs="Calibri" w:eastAsia="Calibri" w:hAnsi="Calibri"/>
          <w:b/>
          <w:bCs/>
          <w:color w:val="3C9163"/>
          <w:sz w:val="24"/>
          <w:szCs w:val="24"/>
        </w:rPr>
        <w:t xml:space="preserve">8. Order Quantity vs. Delivery Time</w:t>
      </w:r>
    </w:p>
    <w:p>
      <w:pPr>
        <w:spacing w:after="160" w:line="276"/>
      </w:pPr>
      <w:r>
        <w:rPr>
          <w:rFonts w:ascii="Calibri" w:cs="Calibri" w:eastAsia="Calibri" w:hAnsi="Calibri"/>
          <w:color w:val="2B2B2B"/>
          <w:sz w:val="22"/>
          <w:szCs w:val="22"/>
        </w:rPr>
        <w:t xml:space="preserve">A scatter plot of Order Quantity against Delivery Time, with a linear trendline (R²) and a computed Pearson correlation coefficient, was used to test this relationship directly.</w:t>
      </w:r>
    </w:p>
    <w:p>
      <w:pPr>
        <w:spacing w:after="160" w:line="276"/>
      </w:pPr>
      <w:r>
        <w:rPr>
          <w:rFonts w:ascii="Calibri" w:cs="Calibri" w:eastAsia="Calibri" w:hAnsi="Calibri"/>
          <w:b/>
          <w:bCs/>
          <w:color w:val="2B2B2B"/>
          <w:sz w:val="22"/>
          <w:szCs w:val="22"/>
        </w:rPr>
        <w:t xml:space="preserve">Correlation coefficient (r): </w:t>
      </w:r>
      <w:r>
        <w:rPr>
          <w:rFonts w:ascii="Calibri" w:cs="Calibri" w:eastAsia="Calibri" w:hAnsi="Calibri"/>
          <w:color w:val="2B2B2B"/>
          <w:sz w:val="22"/>
          <w:szCs w:val="22"/>
        </w:rPr>
        <w:t xml:space="preserve">≈ 0.03 — negligible.</w:t>
      </w:r>
    </w:p>
    <w:p>
      <w:pPr>
        <w:spacing w:after="160" w:line="276"/>
      </w:pPr>
      <w:r>
        <w:rPr>
          <w:rFonts w:ascii="Calibri" w:cs="Calibri" w:eastAsia="Calibri" w:hAnsi="Calibri"/>
          <w:color w:val="2B2B2B"/>
          <w:sz w:val="22"/>
          <w:szCs w:val="22"/>
        </w:rPr>
        <w:t xml:space="preserve">This is close enough to zero to conclude there is no meaningful linear relationship between the two variables. In practical terms, larger orders are not taking systematically longer (or shorter) to deliver than smaller ones — the scatter of points shows no discernible upward or downward pattern, and the trendline is essentially flat.</w:t>
      </w:r>
    </w:p>
    <w:p>
      <w:pPr>
        <w:spacing w:after="160" w:line="276"/>
      </w:pPr>
      <w:r>
        <w:rPr>
          <w:rFonts w:ascii="Calibri" w:cs="Calibri" w:eastAsia="Calibri" w:hAnsi="Calibri"/>
          <w:color w:val="2B2B2B"/>
          <w:sz w:val="22"/>
          <w:szCs w:val="22"/>
        </w:rPr>
        <w:t xml:space="preserve">This rules out order quantity as a driver of delivery delays. Fulfillment speed is more likely explained by other factors — destination city/region, product category (e.g. perishables like cakes and sweets vs. durable goods like mugs), or seasonal order volume around peak occasions — which is a more productive direction for future investigation than bulk-order handling.</w:t>
      </w:r>
    </w:p>
    <w:p>
      <w:pPr>
        <w:pStyle w:val="Heading2"/>
        <w:spacing w:after="120" w:before="280"/>
      </w:pPr>
      <w:r>
        <w:rPr>
          <w:rFonts w:ascii="Calibri" w:cs="Calibri" w:eastAsia="Calibri" w:hAnsi="Calibri"/>
          <w:b/>
          <w:bCs/>
          <w:color w:val="3C9163"/>
          <w:sz w:val="24"/>
          <w:szCs w:val="24"/>
        </w:rPr>
        <w:t xml:space="preserve">9. Revenue Comparison Between Occasions</w:t>
      </w:r>
    </w:p>
    <w:p>
      <w:pPr>
        <w:spacing w:after="160" w:line="276"/>
      </w:pPr>
      <w:r>
        <w:rPr>
          <w:rFonts w:ascii="Calibri" w:cs="Calibri" w:eastAsia="Calibri" w:hAnsi="Calibri"/>
          <w:color w:val="2B2B2B"/>
          <w:sz w:val="22"/>
          <w:szCs w:val="22"/>
        </w:rPr>
        <w:t xml:space="preserve">Occasion-level revenue shows a clear hierarchy:</w:t>
      </w:r>
    </w:p>
    <w:p>
      <w:pPr>
        <w:pStyle w:val="ListParagraph"/>
        <w:numPr>
          <w:ilvl w:val="0"/>
          <w:numId w:val="3"/>
        </w:numPr>
        <w:spacing w:after="100" w:line="276"/>
      </w:pPr>
      <w:r>
        <w:rPr>
          <w:rFonts w:ascii="Calibri" w:cs="Calibri" w:eastAsia="Calibri" w:hAnsi="Calibri"/>
          <w:b/>
          <w:bCs/>
          <w:color w:val="2B2B2B"/>
          <w:sz w:val="22"/>
          <w:szCs w:val="22"/>
        </w:rPr>
        <w:t xml:space="preserve">Anniversary</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Raksha Bandhan</w:t>
      </w:r>
      <w:r>
        <w:rPr>
          <w:rFonts w:ascii="Calibri" w:cs="Calibri" w:eastAsia="Calibri" w:hAnsi="Calibri"/>
          <w:b w:val="false"/>
          <w:bCs w:val="false"/>
          <w:color w:val="2B2B2B"/>
          <w:sz w:val="22"/>
          <w:szCs w:val="22"/>
        </w:rPr>
        <w:t xml:space="preserve"> are the top-performing occasions.</w:t>
      </w:r>
    </w:p>
    <w:p>
      <w:pPr>
        <w:pStyle w:val="ListParagraph"/>
        <w:numPr>
          <w:ilvl w:val="0"/>
          <w:numId w:val="3"/>
        </w:numPr>
        <w:spacing w:after="100" w:line="276"/>
      </w:pPr>
      <w:r>
        <w:rPr>
          <w:rFonts w:ascii="Calibri" w:cs="Calibri" w:eastAsia="Calibri" w:hAnsi="Calibri"/>
          <w:b/>
          <w:bCs/>
          <w:color w:val="2B2B2B"/>
          <w:sz w:val="22"/>
          <w:szCs w:val="22"/>
        </w:rPr>
        <w:t xml:space="preserve">Holi</w:t>
      </w:r>
      <w:r>
        <w:rPr>
          <w:rFonts w:ascii="Calibri" w:cs="Calibri" w:eastAsia="Calibri" w:hAnsi="Calibri"/>
          <w:b w:val="false"/>
          <w:bCs w:val="false"/>
          <w:color w:val="2B2B2B"/>
          <w:sz w:val="22"/>
          <w:szCs w:val="22"/>
        </w:rPr>
        <w:t xml:space="preserve"> follows closely behind.</w:t>
      </w:r>
    </w:p>
    <w:p>
      <w:pPr>
        <w:pStyle w:val="ListParagraph"/>
        <w:numPr>
          <w:ilvl w:val="0"/>
          <w:numId w:val="3"/>
        </w:numPr>
        <w:spacing w:after="100" w:line="276"/>
      </w:pPr>
      <w:r>
        <w:rPr>
          <w:rFonts w:ascii="Calibri" w:cs="Calibri" w:eastAsia="Calibri" w:hAnsi="Calibri"/>
          <w:b/>
          <w:bCs/>
          <w:color w:val="2B2B2B"/>
          <w:sz w:val="22"/>
          <w:szCs w:val="22"/>
        </w:rPr>
        <w:t xml:space="preserve">Birthday</w:t>
      </w:r>
      <w:r>
        <w:rPr>
          <w:rFonts w:ascii="Calibri" w:cs="Calibri" w:eastAsia="Calibri" w:hAnsi="Calibri"/>
          <w:b w:val="false"/>
          <w:bCs w:val="false"/>
          <w:color w:val="2B2B2B"/>
          <w:sz w:val="22"/>
          <w:szCs w:val="22"/>
        </w:rPr>
        <w:t xml:space="preserve"> sits in the middle of the pack.</w:t>
      </w:r>
    </w:p>
    <w:p>
      <w:pPr>
        <w:pStyle w:val="ListParagraph"/>
        <w:numPr>
          <w:ilvl w:val="0"/>
          <w:numId w:val="3"/>
        </w:numPr>
        <w:spacing w:after="100" w:line="276"/>
      </w:pPr>
      <w:r>
        <w:rPr>
          <w:rFonts w:ascii="Calibri" w:cs="Calibri" w:eastAsia="Calibri" w:hAnsi="Calibri"/>
          <w:b/>
          <w:bCs/>
          <w:color w:val="2B2B2B"/>
          <w:sz w:val="22"/>
          <w:szCs w:val="22"/>
        </w:rPr>
        <w:t xml:space="preserve">Diwali</w:t>
      </w:r>
      <w:r>
        <w:rPr>
          <w:rFonts w:ascii="Calibri" w:cs="Calibri" w:eastAsia="Calibri" w:hAnsi="Calibri"/>
          <w:b w:val="false"/>
          <w:bCs w:val="false"/>
          <w:color w:val="2B2B2B"/>
          <w:sz w:val="22"/>
          <w:szCs w:val="22"/>
        </w:rPr>
        <w:t xml:space="preserve"> and </w:t>
      </w:r>
      <w:r>
        <w:rPr>
          <w:rFonts w:ascii="Calibri" w:cs="Calibri" w:eastAsia="Calibri" w:hAnsi="Calibri"/>
          <w:b/>
          <w:bCs/>
          <w:color w:val="2B2B2B"/>
          <w:sz w:val="22"/>
          <w:szCs w:val="22"/>
        </w:rPr>
        <w:t xml:space="preserve">Valentine's Day</w:t>
      </w:r>
      <w:r>
        <w:rPr>
          <w:rFonts w:ascii="Calibri" w:cs="Calibri" w:eastAsia="Calibri" w:hAnsi="Calibri"/>
          <w:b w:val="false"/>
          <w:bCs w:val="false"/>
          <w:color w:val="2B2B2B"/>
          <w:sz w:val="22"/>
          <w:szCs w:val="22"/>
        </w:rPr>
        <w:t xml:space="preserve"> generate comparatively lower revenue than the other occasions.</w:t>
      </w:r>
    </w:p>
    <w:p>
      <w:pPr>
        <w:pStyle w:val="ListParagraph"/>
        <w:numPr>
          <w:ilvl w:val="0"/>
          <w:numId w:val="3"/>
        </w:numPr>
        <w:spacing w:after="100" w:line="276"/>
      </w:pPr>
      <w:r>
        <w:rPr>
          <w:rFonts w:ascii="Calibri" w:cs="Calibri" w:eastAsia="Calibri" w:hAnsi="Calibri"/>
          <w:b w:val="false"/>
          <w:bCs w:val="false"/>
          <w:color w:val="2B2B2B"/>
          <w:sz w:val="22"/>
          <w:szCs w:val="22"/>
        </w:rPr>
        <w:t xml:space="preserve">An </w:t>
      </w:r>
      <w:r>
        <w:rPr>
          <w:rFonts w:ascii="Calibri" w:cs="Calibri" w:eastAsia="Calibri" w:hAnsi="Calibri"/>
          <w:b/>
          <w:bCs/>
          <w:color w:val="2B2B2B"/>
          <w:sz w:val="22"/>
          <w:szCs w:val="22"/>
        </w:rPr>
        <w:t xml:space="preserve">"All Occasions"</w:t>
      </w:r>
      <w:r>
        <w:rPr>
          <w:rFonts w:ascii="Calibri" w:cs="Calibri" w:eastAsia="Calibri" w:hAnsi="Calibri"/>
          <w:b w:val="false"/>
          <w:bCs w:val="false"/>
          <w:color w:val="2B2B2B"/>
          <w:sz w:val="22"/>
          <w:szCs w:val="22"/>
        </w:rPr>
        <w:t xml:space="preserve"> category also appears, capturing generic/non-occasion-specific gifting that isn't tied to a calendar event.</w:t>
      </w:r>
    </w:p>
    <w:p>
      <w:pPr>
        <w:pStyle w:val="Heading2"/>
        <w:spacing w:after="120" w:before="280"/>
      </w:pPr>
      <w:r>
        <w:rPr>
          <w:rFonts w:ascii="Calibri" w:cs="Calibri" w:eastAsia="Calibri" w:hAnsi="Calibri"/>
          <w:b/>
          <w:bCs/>
          <w:color w:val="3C9163"/>
          <w:sz w:val="24"/>
          <w:szCs w:val="24"/>
        </w:rPr>
        <w:t xml:space="preserve">10. Product Popularity by Occasion</w:t>
      </w:r>
    </w:p>
    <w:p>
      <w:pPr>
        <w:spacing w:after="160" w:line="276"/>
      </w:pPr>
      <w:r>
        <w:rPr>
          <w:rFonts w:ascii="Calibri" w:cs="Calibri" w:eastAsia="Calibri" w:hAnsi="Calibri"/>
          <w:color w:val="2B2B2B"/>
          <w:sz w:val="22"/>
          <w:szCs w:val="22"/>
        </w:rPr>
        <w:t xml:space="preserve">The dashboard's Occasion slicer (All Occasions, Anniversary, Birthday, Diwali, Holi, Raksha Bandhan, Valentine's Day) lets users cross-filter every chart — Revenue by Product, Revenue by Month, Top Cities, etc. — by a single occasion. This turns the static "top products" view into an occasion-specific one, so a category manager can, for example, isolate exactly which products drive Raksha Bandhan revenue versus Valentine's Day revenue.</w:t>
      </w:r>
    </w:p>
    <w:p>
      <w:pPr>
        <w:pStyle w:val="Heading1"/>
        <w:pBdr>
          <w:bottom w:val="single" w:color="1F6E43" w:sz="6" w:space="4"/>
        </w:pBdr>
        <w:spacing w:after="160" w:before="360"/>
      </w:pPr>
      <w:r>
        <w:rPr>
          <w:rFonts w:ascii="Calibri" w:cs="Calibri" w:eastAsia="Calibri" w:hAnsi="Calibri"/>
          <w:b/>
          <w:bCs/>
          <w:color w:val="1F6E43"/>
          <w:sz w:val="30"/>
          <w:szCs w:val="30"/>
        </w:rPr>
        <w:t xml:space="preserve">Dashboard Design</w:t>
      </w:r>
    </w:p>
    <w:p>
      <w:pPr>
        <w:pStyle w:val="ListParagraph"/>
        <w:numPr>
          <w:ilvl w:val="0"/>
          <w:numId w:val="3"/>
        </w:numPr>
        <w:spacing w:after="100" w:line="276"/>
      </w:pPr>
      <w:r>
        <w:rPr>
          <w:rFonts w:ascii="Calibri" w:cs="Calibri" w:eastAsia="Calibri" w:hAnsi="Calibri"/>
          <w:b/>
          <w:bCs/>
          <w:color w:val="2B2B2B"/>
          <w:sz w:val="22"/>
          <w:szCs w:val="22"/>
        </w:rPr>
        <w:t xml:space="preserve">KPI strip</w:t>
      </w:r>
      <w:r>
        <w:rPr>
          <w:rFonts w:ascii="Calibri" w:cs="Calibri" w:eastAsia="Calibri" w:hAnsi="Calibri"/>
          <w:b w:val="false"/>
          <w:bCs w:val="false"/>
          <w:color w:val="2B2B2B"/>
          <w:sz w:val="22"/>
          <w:szCs w:val="22"/>
        </w:rPr>
        <w:t xml:space="preserve"> at the top surfaces Total Orders, Total Revenue, Avg. Customer Spend, and Avg. Order-to-Delivery Time for instant context.</w:t>
      </w:r>
    </w:p>
    <w:p>
      <w:pPr>
        <w:pStyle w:val="ListParagraph"/>
        <w:numPr>
          <w:ilvl w:val="0"/>
          <w:numId w:val="3"/>
        </w:numPr>
        <w:spacing w:after="100" w:line="276"/>
      </w:pPr>
      <w:r>
        <w:rPr>
          <w:rFonts w:ascii="Calibri" w:cs="Calibri" w:eastAsia="Calibri" w:hAnsi="Calibri"/>
          <w:b/>
          <w:bCs/>
          <w:color w:val="2B2B2B"/>
          <w:sz w:val="22"/>
          <w:szCs w:val="22"/>
        </w:rPr>
        <w:t xml:space="preserve">Six core visuals</w:t>
      </w:r>
      <w:r>
        <w:rPr>
          <w:rFonts w:ascii="Calibri" w:cs="Calibri" w:eastAsia="Calibri" w:hAnsi="Calibri"/>
          <w:b w:val="false"/>
          <w:bCs w:val="false"/>
          <w:color w:val="2B2B2B"/>
          <w:sz w:val="22"/>
          <w:szCs w:val="22"/>
        </w:rPr>
        <w:t xml:space="preserve">: Revenue by Occasion, Revenue by Product, Revenue by Hour (Order Time), Revenue by Month, Top 5 Products by Revenue, and Top 10 Cities by Order Volume.</w:t>
      </w:r>
    </w:p>
    <w:p>
      <w:pPr>
        <w:pStyle w:val="ListParagraph"/>
        <w:numPr>
          <w:ilvl w:val="0"/>
          <w:numId w:val="3"/>
        </w:numPr>
        <w:spacing w:after="100" w:line="276"/>
      </w:pPr>
      <w:r>
        <w:rPr>
          <w:rFonts w:ascii="Calibri" w:cs="Calibri" w:eastAsia="Calibri" w:hAnsi="Calibri"/>
          <w:b/>
          <w:bCs/>
          <w:color w:val="2B2B2B"/>
          <w:sz w:val="22"/>
          <w:szCs w:val="22"/>
        </w:rPr>
        <w:t xml:space="preserve">Three interactive slicers</w:t>
      </w:r>
      <w:r>
        <w:rPr>
          <w:rFonts w:ascii="Calibri" w:cs="Calibri" w:eastAsia="Calibri" w:hAnsi="Calibri"/>
          <w:b w:val="false"/>
          <w:bCs w:val="false"/>
          <w:color w:val="2B2B2B"/>
          <w:sz w:val="22"/>
          <w:szCs w:val="22"/>
        </w:rPr>
        <w:t xml:space="preserve">: Delivery Date, Order Date (both by month, 2023), and Occasion — enabling dynamic, cross-filtered exploration of every chart on the page.</w:t>
      </w:r>
    </w:p>
    <w:p>
      <w:pPr>
        <w:pStyle w:val="ListParagraph"/>
        <w:numPr>
          <w:ilvl w:val="0"/>
          <w:numId w:val="3"/>
        </w:numPr>
        <w:spacing w:after="100" w:line="276"/>
      </w:pPr>
      <w:r>
        <w:rPr>
          <w:rFonts w:ascii="Calibri" w:cs="Calibri" w:eastAsia="Calibri" w:hAnsi="Calibri"/>
          <w:b/>
          <w:bCs/>
          <w:color w:val="2B2B2B"/>
          <w:sz w:val="22"/>
          <w:szCs w:val="22"/>
        </w:rPr>
        <w:t xml:space="preserve">Branding</w:t>
      </w:r>
      <w:r>
        <w:rPr>
          <w:rFonts w:ascii="Calibri" w:cs="Calibri" w:eastAsia="Calibri" w:hAnsi="Calibri"/>
          <w:b w:val="false"/>
          <w:bCs w:val="false"/>
          <w:color w:val="2B2B2B"/>
          <w:sz w:val="22"/>
          <w:szCs w:val="22"/>
        </w:rPr>
        <w:t xml:space="preserve">: FNP's signature green and white palette is used throughout for visual consistency.</w:t>
      </w:r>
    </w:p>
    <w:p>
      <w:pPr>
        <w:pStyle w:val="ListParagraph"/>
        <w:numPr>
          <w:ilvl w:val="0"/>
          <w:numId w:val="3"/>
        </w:numPr>
        <w:spacing w:after="100" w:line="276"/>
      </w:pPr>
      <w:r>
        <w:rPr>
          <w:rFonts w:ascii="Calibri" w:cs="Calibri" w:eastAsia="Calibri" w:hAnsi="Calibri"/>
          <w:b w:val="false"/>
          <w:bCs w:val="false"/>
          <w:color w:val="2B2B2B"/>
          <w:sz w:val="22"/>
          <w:szCs w:val="22"/>
        </w:rPr>
        <w:t xml:space="preserve">An additional </w:t>
      </w:r>
      <w:r>
        <w:rPr>
          <w:rFonts w:ascii="Calibri" w:cs="Calibri" w:eastAsia="Calibri" w:hAnsi="Calibri"/>
          <w:b/>
          <w:bCs/>
          <w:color w:val="2B2B2B"/>
          <w:sz w:val="22"/>
          <w:szCs w:val="22"/>
        </w:rPr>
        <w:t xml:space="preserve">Revenue by Hour (Order Time)</w:t>
      </w:r>
      <w:r>
        <w:rPr>
          <w:rFonts w:ascii="Calibri" w:cs="Calibri" w:eastAsia="Calibri" w:hAnsi="Calibri"/>
          <w:b w:val="false"/>
          <w:bCs w:val="false"/>
          <w:color w:val="2B2B2B"/>
          <w:sz w:val="22"/>
          <w:szCs w:val="22"/>
        </w:rPr>
        <w:t xml:space="preserve"> chart reveals intraday ordering behavior, with a notable peak around the 8 AM hour — useful for timing promotional pushes or customer support staffing.</w:t>
      </w:r>
    </w:p>
    <w:p>
      <w:pPr>
        <w:pStyle w:val="Heading1"/>
        <w:pBdr>
          <w:bottom w:val="single" w:color="1F6E43" w:sz="6" w:space="4"/>
        </w:pBdr>
        <w:spacing w:after="160" w:before="360"/>
      </w:pPr>
      <w:r>
        <w:rPr>
          <w:rFonts w:ascii="Calibri" w:cs="Calibri" w:eastAsia="Calibri" w:hAnsi="Calibri"/>
          <w:b/>
          <w:bCs/>
          <w:color w:val="1F6E43"/>
          <w:sz w:val="30"/>
          <w:szCs w:val="30"/>
        </w:rPr>
        <w:t xml:space="preserve">Recommendations</w:t>
      </w:r>
    </w:p>
    <w:p>
      <w:pPr>
        <w:pStyle w:val="ListParagraph"/>
        <w:numPr>
          <w:ilvl w:val="0"/>
          <w:numId w:val="3"/>
        </w:numPr>
        <w:spacing w:after="100" w:line="276"/>
      </w:pPr>
      <w:r>
        <w:rPr>
          <w:rFonts w:ascii="Calibri" w:cs="Calibri" w:eastAsia="Calibri" w:hAnsi="Calibri"/>
          <w:b/>
          <w:bCs/>
          <w:color w:val="2B2B2B"/>
          <w:sz w:val="22"/>
          <w:szCs w:val="22"/>
        </w:rPr>
        <w:t xml:space="preserve">Double down on seasonal peaks</w:t>
      </w:r>
      <w:r>
        <w:rPr>
          <w:rFonts w:ascii="Calibri" w:cs="Calibri" w:eastAsia="Calibri" w:hAnsi="Calibri"/>
          <w:b w:val="false"/>
          <w:bCs w:val="false"/>
          <w:color w:val="2B2B2B"/>
          <w:sz w:val="22"/>
          <w:szCs w:val="22"/>
        </w:rPr>
        <w:t xml:space="preserve">: Pre-position inventory and scale up marketing ahead of February and August, FNP's strongest revenue months.</w:t>
      </w:r>
    </w:p>
    <w:p>
      <w:pPr>
        <w:pStyle w:val="ListParagraph"/>
        <w:numPr>
          <w:ilvl w:val="0"/>
          <w:numId w:val="3"/>
        </w:numPr>
        <w:spacing w:after="100" w:line="276"/>
      </w:pPr>
      <w:r>
        <w:rPr>
          <w:rFonts w:ascii="Calibri" w:cs="Calibri" w:eastAsia="Calibri" w:hAnsi="Calibri"/>
          <w:b/>
          <w:bCs/>
          <w:color w:val="2B2B2B"/>
          <w:sz w:val="22"/>
          <w:szCs w:val="22"/>
        </w:rPr>
        <w:t xml:space="preserve">Revive underperforming categories</w:t>
      </w:r>
      <w:r>
        <w:rPr>
          <w:rFonts w:ascii="Calibri" w:cs="Calibri" w:eastAsia="Calibri" w:hAnsi="Calibri"/>
          <w:b w:val="false"/>
          <w:bCs w:val="false"/>
          <w:color w:val="2B2B2B"/>
          <w:sz w:val="22"/>
          <w:szCs w:val="22"/>
        </w:rPr>
        <w:t xml:space="preserve">: Investigate why Mugs and Plants lag — consider bundling them with top sellers like Colors or Soft Toys, or reassessing pricing/placement.</w:t>
      </w:r>
    </w:p>
    <w:p>
      <w:pPr>
        <w:pStyle w:val="ListParagraph"/>
        <w:numPr>
          <w:ilvl w:val="0"/>
          <w:numId w:val="3"/>
        </w:numPr>
        <w:spacing w:after="100" w:line="276"/>
      </w:pPr>
      <w:r>
        <w:rPr>
          <w:rFonts w:ascii="Calibri" w:cs="Calibri" w:eastAsia="Calibri" w:hAnsi="Calibri"/>
          <w:b/>
          <w:bCs/>
          <w:color w:val="2B2B2B"/>
          <w:sz w:val="22"/>
          <w:szCs w:val="22"/>
        </w:rPr>
        <w:t xml:space="preserve">Deepen the occasion strategy</w:t>
      </w:r>
      <w:r>
        <w:rPr>
          <w:rFonts w:ascii="Calibri" w:cs="Calibri" w:eastAsia="Calibri" w:hAnsi="Calibri"/>
          <w:b w:val="false"/>
          <w:bCs w:val="false"/>
          <w:color w:val="2B2B2B"/>
          <w:sz w:val="22"/>
          <w:szCs w:val="22"/>
        </w:rPr>
        <w:t xml:space="preserve">: Since Diwali and Valentine's Day underperform relative to Anniversary and Raksha Bandhan, review whether product assortment and promotions for these occasions need refreshing.</w:t>
      </w:r>
    </w:p>
    <w:p>
      <w:pPr>
        <w:pStyle w:val="ListParagraph"/>
        <w:numPr>
          <w:ilvl w:val="0"/>
          <w:numId w:val="3"/>
        </w:numPr>
        <w:spacing w:after="100" w:line="276"/>
      </w:pPr>
      <w:r>
        <w:rPr>
          <w:rFonts w:ascii="Calibri" w:cs="Calibri" w:eastAsia="Calibri" w:hAnsi="Calibri"/>
          <w:b/>
          <w:bCs/>
          <w:color w:val="2B2B2B"/>
          <w:sz w:val="22"/>
          <w:szCs w:val="22"/>
        </w:rPr>
        <w:t xml:space="preserve">Prioritize high-volume cities</w:t>
      </w:r>
      <w:r>
        <w:rPr>
          <w:rFonts w:ascii="Calibri" w:cs="Calibri" w:eastAsia="Calibri" w:hAnsi="Calibri"/>
          <w:b w:val="false"/>
          <w:bCs w:val="false"/>
          <w:color w:val="2B2B2B"/>
          <w:sz w:val="22"/>
          <w:szCs w:val="22"/>
        </w:rPr>
        <w:t xml:space="preserve">: Dhanbad and Imphal's strong order counts make them good candidates for localized fulfillment or delivery-time optimization pilots.</w:t>
      </w:r>
    </w:p>
    <w:p>
      <w:pPr>
        <w:pStyle w:val="ListParagraph"/>
        <w:numPr>
          <w:ilvl w:val="0"/>
          <w:numId w:val="3"/>
        </w:numPr>
        <w:spacing w:after="100" w:line="276"/>
      </w:pPr>
      <w:r>
        <w:rPr>
          <w:rFonts w:ascii="Calibri" w:cs="Calibri" w:eastAsia="Calibri" w:hAnsi="Calibri"/>
          <w:b/>
          <w:bCs/>
          <w:color w:val="2B2B2B"/>
          <w:sz w:val="22"/>
          <w:szCs w:val="22"/>
        </w:rPr>
        <w:t xml:space="preserve">Look beyond order size for delivery delays</w:t>
      </w:r>
      <w:r>
        <w:rPr>
          <w:rFonts w:ascii="Calibri" w:cs="Calibri" w:eastAsia="Calibri" w:hAnsi="Calibri"/>
          <w:b w:val="false"/>
          <w:bCs w:val="false"/>
          <w:color w:val="2B2B2B"/>
          <w:sz w:val="22"/>
          <w:szCs w:val="22"/>
        </w:rPr>
        <w:t xml:space="preserve">: Since order quantity shows negligible correlation with delivery time (r ≈ 0.03), redirect delay-reduction efforts toward city/region-level logistics and product-category handling instead of bulk-order processes.</w:t>
      </w:r>
    </w:p>
    <w:p>
      <w:pPr>
        <w:pStyle w:val="ListParagraph"/>
        <w:numPr>
          <w:ilvl w:val="0"/>
          <w:numId w:val="3"/>
        </w:numPr>
        <w:spacing w:after="100" w:line="276"/>
      </w:pPr>
      <w:r>
        <w:rPr>
          <w:rFonts w:ascii="Calibri" w:cs="Calibri" w:eastAsia="Calibri" w:hAnsi="Calibri"/>
          <w:b/>
          <w:bCs/>
          <w:color w:val="2B2B2B"/>
          <w:sz w:val="22"/>
          <w:szCs w:val="22"/>
        </w:rPr>
        <w:t xml:space="preserve">Segment customers by spend</w:t>
      </w:r>
      <w:r>
        <w:rPr>
          <w:rFonts w:ascii="Calibri" w:cs="Calibri" w:eastAsia="Calibri" w:hAnsi="Calibri"/>
          <w:b w:val="false"/>
          <w:bCs w:val="false"/>
          <w:color w:val="2B2B2B"/>
          <w:sz w:val="22"/>
          <w:szCs w:val="22"/>
        </w:rPr>
        <w:t xml:space="preserve">: Layering a customer-tier view on top of the existing dashboard would sharpen retention and upsell targeting.</w:t>
      </w:r>
    </w:p>
    <w:p>
      <w:pPr>
        <w:pStyle w:val="Heading1"/>
        <w:pBdr>
          <w:bottom w:val="single" w:color="1F6E43" w:sz="6" w:space="4"/>
        </w:pBdr>
        <w:spacing w:after="160" w:before="360"/>
      </w:pPr>
      <w:r>
        <w:rPr>
          <w:rFonts w:ascii="Calibri" w:cs="Calibri" w:eastAsia="Calibri" w:hAnsi="Calibri"/>
          <w:b/>
          <w:bCs/>
          <w:color w:val="1F6E43"/>
          <w:sz w:val="30"/>
          <w:szCs w:val="30"/>
        </w:rPr>
        <w:t xml:space="preserve">Limitations &amp; Next Steps</w:t>
      </w:r>
    </w:p>
    <w:p>
      <w:pPr>
        <w:pStyle w:val="ListParagraph"/>
        <w:numPr>
          <w:ilvl w:val="0"/>
          <w:numId w:val="3"/>
        </w:numPr>
        <w:spacing w:after="100" w:line="276"/>
      </w:pPr>
      <w:r>
        <w:rPr>
          <w:rFonts w:ascii="Calibri" w:cs="Calibri" w:eastAsia="Calibri" w:hAnsi="Calibri"/>
          <w:color w:val="2B2B2B"/>
          <w:sz w:val="22"/>
          <w:szCs w:val="22"/>
        </w:rPr>
        <w:t xml:space="preserve">Analysis is scoped to 2023; extending the dataset across multiple years would help distinguish true seasonality from one-off spikes.</w:t>
      </w:r>
    </w:p>
    <w:p>
      <w:pPr>
        <w:pStyle w:val="ListParagraph"/>
        <w:numPr>
          <w:ilvl w:val="0"/>
          <w:numId w:val="3"/>
        </w:numPr>
        <w:spacing w:after="100" w:line="276"/>
      </w:pPr>
      <w:r>
        <w:rPr>
          <w:rFonts w:ascii="Calibri" w:cs="Calibri" w:eastAsia="Calibri" w:hAnsi="Calibri"/>
          <w:color w:val="2B2B2B"/>
          <w:sz w:val="22"/>
          <w:szCs w:val="22"/>
        </w:rPr>
        <w:t xml:space="preserve">Now that order quantity is ruled out, a follow-up breakdown of delivery time by city and by product category would help pinpoint the actual drivers of delivery delays.</w:t>
      </w:r>
    </w:p>
    <w:p>
      <w:pPr>
        <w:pStyle w:val="ListParagraph"/>
        <w:numPr>
          <w:ilvl w:val="0"/>
          <w:numId w:val="3"/>
        </w:numPr>
        <w:spacing w:after="100" w:line="276"/>
      </w:pPr>
      <w:r>
        <w:rPr>
          <w:rFonts w:ascii="Calibri" w:cs="Calibri" w:eastAsia="Calibri" w:hAnsi="Calibri"/>
          <w:color w:val="2B2B2B"/>
          <w:sz w:val="22"/>
          <w:szCs w:val="22"/>
        </w:rPr>
        <w:t xml:space="preserve">Adding customer-level cohort or repeat-purchase analysis would strengthen the "Customer Spending" insight beyond a single average figure.</w:t>
      </w:r>
    </w:p>
    <w:p>
      <w:pPr>
        <w:pStyle w:val="Heading1"/>
        <w:pBdr>
          <w:bottom w:val="single" w:color="1F6E43" w:sz="6" w:space="4"/>
        </w:pBdr>
        <w:spacing w:after="160" w:before="360"/>
      </w:pPr>
      <w:r>
        <w:rPr>
          <w:rFonts w:ascii="Calibri" w:cs="Calibri" w:eastAsia="Calibri" w:hAnsi="Calibri"/>
          <w:b/>
          <w:bCs/>
          <w:color w:val="1F6E43"/>
          <w:sz w:val="30"/>
          <w:szCs w:val="30"/>
        </w:rPr>
        <w:t xml:space="preserve">Tech Stack</w:t>
      </w:r>
    </w:p>
    <w:p>
      <w:pPr>
        <w:pStyle w:val="ListParagraph"/>
        <w:numPr>
          <w:ilvl w:val="0"/>
          <w:numId w:val="3"/>
        </w:numPr>
        <w:spacing w:after="100" w:line="276"/>
      </w:pPr>
      <w:r>
        <w:rPr>
          <w:rFonts w:ascii="Calibri" w:cs="Calibri" w:eastAsia="Calibri" w:hAnsi="Calibri"/>
          <w:b/>
          <w:bCs/>
          <w:color w:val="2B2B2B"/>
          <w:sz w:val="22"/>
          <w:szCs w:val="22"/>
        </w:rPr>
        <w:t xml:space="preserve">Microsoft Excel</w:t>
      </w:r>
      <w:r>
        <w:rPr>
          <w:rFonts w:ascii="Calibri" w:cs="Calibri" w:eastAsia="Calibri" w:hAnsi="Calibri"/>
          <w:b w:val="false"/>
          <w:bCs w:val="false"/>
          <w:color w:val="2B2B2B"/>
          <w:sz w:val="22"/>
          <w:szCs w:val="22"/>
        </w:rPr>
        <w:t xml:space="preserve"> — data cleaning, PivotTables, PivotCharts, slicers, KPI cards, dashboard layout and formatting</w:t>
      </w:r>
    </w:p>
    <w:p>
      <w:pPr>
        <w:pBdr>
          <w:top w:val="single" w:color="D9D9D9" w:sz="4" w:space="8"/>
        </w:pBdr>
        <w:spacing w:before="400"/>
        <w:jc w:val="center"/>
      </w:pPr>
      <w:r>
        <w:rPr>
          <w:rFonts w:ascii="Calibri" w:cs="Calibri" w:eastAsia="Calibri" w:hAnsi="Calibri"/>
          <w:i/>
          <w:iCs/>
          <w:color w:val="595959"/>
          <w:sz w:val="18"/>
          <w:szCs w:val="18"/>
        </w:rPr>
        <w:t xml:space="preserve">Prepared as part of a self-directed portfolio project analyzing FNP's 2023 sales dataset.</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120"/>
      <w:jc w:val="right"/>
    </w:pPr>
    <w:r>
      <w:rPr>
        <w:rFonts w:ascii="Calibri" w:cs="Calibri" w:eastAsia="Calibri" w:hAnsi="Calibri"/>
        <w:color w:val="595959"/>
        <w:sz w:val="16"/>
        <w:szCs w:val="16"/>
      </w:rPr>
      <w:t xml:space="preserve">FNP Sales Analysis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2026-09-17T16:07:48.157Z</dcterms:created>
  <dcterms:modified xsi:type="dcterms:W3CDTF">2026-09-17T16:07:48.167Z</dcterms:modified>
</cp:coreProperties>
</file>

<file path=docProps/custom.xml><?xml version="1.0" encoding="utf-8"?>
<Properties xmlns="http://schemas.openxmlformats.org/officeDocument/2006/custom-properties" xmlns:vt="http://schemas.openxmlformats.org/officeDocument/2006/docPropsVTypes"/>
</file>