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23060609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</w:t>
      </w:r>
      <w:r w:rsidR="004756A5">
        <w:t xml:space="preserve"> {fechaEliminacion}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0E15E249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{nombre}</w:t>
      </w:r>
      <w:r w:rsidR="00BC4C7B">
        <w:rPr>
          <w:rFonts w:ascii="Arial"/>
          <w:b/>
          <w:sz w:val="24"/>
        </w:rPr>
        <w:t xml:space="preserve"> {apellido}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>por lo tanto queda 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>laboral que se termina, 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2BA3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15BB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5B89E4F2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>{nombre}</w:t>
      </w:r>
      <w:r w:rsidR="00BC4C7B">
        <w:rPr>
          <w:rFonts w:ascii="Arial" w:hAnsi="Arial"/>
          <w:b/>
          <w:i/>
          <w:sz w:val="24"/>
        </w:rPr>
        <w:t xml:space="preserve"> {apellido}</w:t>
      </w:r>
    </w:p>
    <w:p w14:paraId="7834A80A" w14:textId="7E659F71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C"/>
    <w:rsid w:val="00136373"/>
    <w:rsid w:val="00257E98"/>
    <w:rsid w:val="00310D37"/>
    <w:rsid w:val="004756A5"/>
    <w:rsid w:val="00517598"/>
    <w:rsid w:val="007D20AC"/>
    <w:rsid w:val="00891F32"/>
    <w:rsid w:val="00BC4C7B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5</cp:revision>
  <dcterms:created xsi:type="dcterms:W3CDTF">2025-06-03T18:24:00Z</dcterms:created>
  <dcterms:modified xsi:type="dcterms:W3CDTF">2025-06-10T09:20:00Z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