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04. Расчёт потерь и теплового режима</w:t>
      </w:r>
    </w:p>
    <w:p>
      <w:r>
        <w:rPr>
          <w:b/>
        </w:rPr>
        <w:t>Тема:</w:t>
      </w:r>
      <w:r>
        <w:t xml:space="preserve"> Расчёт суммарных потерь транзистора, выбор радиатора, проверка снаббера.</w:t>
      </w:r>
    </w:p>
    <w:p>
      <w:pPr>
        <w:pStyle w:val="Heading2"/>
      </w:pPr>
      <w:r>
        <w:t>Цель</w:t>
      </w:r>
    </w:p>
    <w:p>
      <w:r>
        <w:t>Связать электрические потери с тепловым режимом: рассчитать P_потерь, подобрать радиатор и проверить тепловую модель в симуляции.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LTspice (оценка потерь по осциллограммам, RC-снаббер).</w:t>
      </w:r>
    </w:p>
    <w:p>
      <w:pPr>
        <w:pStyle w:val="ListBullet"/>
      </w:pPr>
      <w:r>
        <w:t>MATLAB/Simulink (тепловая RC-модель прибора, опционально).</w:t>
      </w:r>
    </w:p>
    <w:p>
      <w:pPr>
        <w:pStyle w:val="ListBullet"/>
      </w:pPr>
      <w:r>
        <w:t>Расчёт в Excel/MATLAB.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Возьмите модель из ЛР-03. Для рабочей точки (U, I, f_sw) измерьте средние потери проводимости и переключения.</w:t>
      </w:r>
    </w:p>
    <w:p>
      <w:pPr>
        <w:pStyle w:val="ListNumber"/>
      </w:pPr>
      <w:r>
        <w:t>Постройте бюджет потерь: P_total = P_cond + P_sw.</w:t>
      </w:r>
    </w:p>
    <w:p>
      <w:pPr>
        <w:pStyle w:val="ListNumber"/>
      </w:pPr>
      <w:r>
        <w:t>По datasheet-параметрам (R_th(jc), R_th(cs)) рассчитайте требуемое R_th(sa) радиатора.</w:t>
      </w:r>
    </w:p>
    <w:p>
      <w:pPr>
        <w:pStyle w:val="ListNumber"/>
      </w:pPr>
      <w:r>
        <w:t>Соберите тепловую RC-цепочку (электрическая аналогия) и проверьте установившуюся T_j.</w:t>
      </w:r>
    </w:p>
    <w:p>
      <w:pPr>
        <w:pStyle w:val="ListNumber"/>
      </w:pPr>
      <w:r>
        <w:t>Добавьте RC-снаббер на транзистор, оцените снижение перенапряжения и доп. потери в снаббере.</w:t>
      </w:r>
    </w:p>
    <w:p>
      <w:pPr>
        <w:pStyle w:val="Heading2"/>
      </w:pPr>
      <w:r>
        <w:t>Расчётная часть</w:t>
      </w:r>
    </w:p>
    <w:p>
      <w:pPr>
        <w:pStyle w:val="ListBullet"/>
      </w:pPr>
      <w:r>
        <w:t>P_total для f_sw = 50 кГц.</w:t>
      </w:r>
    </w:p>
    <w:p>
      <w:pPr>
        <w:pStyle w:val="ListBullet"/>
      </w:pPr>
      <w:r>
        <w:t>R_th(sa) ≤ (T_j(max) − T_a)/P_total − R_th(jc) − R_th(cs).</w:t>
      </w:r>
    </w:p>
    <w:p>
      <w:pPr>
        <w:pStyle w:val="ListBullet"/>
      </w:pPr>
      <w:r>
        <w:t>Энергия снаббера E = 0.5·C·U², мощность P_sn = E·f_sw.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Что произойдёт с T_j при удвоении частоты коммутации?</w:t>
      </w:r>
    </w:p>
    <w:p>
      <w:pPr>
        <w:pStyle w:val="ListNumber"/>
      </w:pPr>
      <w:r>
        <w:t>Почему снаббер снижает перенапряжение, но добавляет потери?</w:t>
      </w:r>
    </w:p>
    <w:p>
      <w:pPr>
        <w:pStyle w:val="ListNumber"/>
      </w:pPr>
      <w:r>
        <w:t>Как переходное Z_th(t) помогает при коротких импульсах перегрузки?</w:t>
      </w:r>
    </w:p>
    <w:p>
      <w:pPr>
        <w:pStyle w:val="Heading2"/>
      </w:pPr>
      <w:r>
        <w:t>Форма отчёта</w:t>
      </w:r>
    </w:p>
    <w:p>
      <w:r>
        <w:t>Цель → бюджет потерь → расчёт радиатора → тепловая модель (T_j) → эффект снаббера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