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17. Надёжность, диагностика и тренды (SiC/GaN)</w:t>
      </w:r>
    </w:p>
    <w:p>
      <w:r>
        <w:rPr>
          <w:b/>
        </w:rPr>
        <w:t>Модуль IV. Управление, ЭМС и применение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Почему надёжность критична</w:t>
      </w:r>
    </w:p>
    <w:p>
      <w:r>
        <w:t>Силовые преобразователи часто работают непрерывно годами в тяжёлых условиях (нагрев, вибрация, циклы нагрузки). Отказ может остановить производство или создать опасность. Поэтому надёжность проектируют, а не «получают» — анализируют механизмы отказа и закладывают запасы.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Механизмы отказа</w:t>
      </w:r>
    </w:p>
    <w:p>
      <w:pPr>
        <w:pStyle w:val="Heading3"/>
      </w:pPr>
      <w:r>
        <w:t>2.1. Тепловые</w:t>
      </w:r>
    </w:p>
    <w:p>
      <w:pPr>
        <w:pStyle w:val="ListBullet"/>
      </w:pPr>
      <w:r>
        <w:rPr>
          <w:b/>
        </w:rPr>
        <w:t>Тепловой пробой</w:t>
      </w:r>
      <w:r>
        <w:t xml:space="preserve"> — превышение </w:t>
      </w:r>
      <w:r>
        <w:rPr>
          <w:rFonts w:ascii="Consolas" w:hAnsi="Consolas"/>
          <w:color w:val="C03030"/>
          <w:sz w:val="20"/>
        </w:rPr>
        <w:t>T_j(max)</w:t>
      </w:r>
      <w:r>
        <w:t xml:space="preserve"> ведёт к необратимой деградации кристалла.</w:t>
      </w:r>
    </w:p>
    <w:p>
      <w:pPr>
        <w:pStyle w:val="ListBullet"/>
      </w:pPr>
      <w:r>
        <w:rPr>
          <w:b/>
        </w:rPr>
        <w:t>Термоциклирование</w:t>
      </w:r>
      <w:r>
        <w:t xml:space="preserve"> — при изменениях нагрузки кристалл и подложка нагреваются/остывают. Разные коэффициенты теплового расширения материалов вызывают </w:t>
      </w:r>
      <w:r>
        <w:rPr>
          <w:b/>
        </w:rPr>
        <w:t>усталость</w:t>
      </w:r>
      <w:r>
        <w:t>: растрескивание паяных слоёв и отрыв проволочных соединений (bond wire lift-off). Это главный механизм износа силовых модулей.</w:t>
      </w:r>
    </w:p>
    <w:p>
      <w:pPr>
        <w:pStyle w:val="Heading3"/>
      </w:pPr>
      <w:r>
        <w:t>2.2. Электрические</w:t>
      </w:r>
    </w:p>
    <w:p>
      <w:pPr>
        <w:pStyle w:val="ListBullet"/>
      </w:pPr>
      <w:r>
        <w:rPr>
          <w:b/>
        </w:rPr>
        <w:t>Пробой по напряжению</w:t>
      </w:r>
      <w:r>
        <w:t xml:space="preserve"> — превышение блокирующего напряжения (выбросы, перенапряжения).</w:t>
      </w:r>
    </w:p>
    <w:p>
      <w:pPr>
        <w:pStyle w:val="ListBullet"/>
      </w:pPr>
      <w:r>
        <w:rPr>
          <w:b/>
        </w:rPr>
        <w:t>Электромиграция</w:t>
      </w:r>
      <w:r>
        <w:t xml:space="preserve"> в металлизации при высокой плотности тока.</w:t>
      </w:r>
    </w:p>
    <w:p>
      <w:pPr>
        <w:pStyle w:val="Heading3"/>
      </w:pPr>
      <w:r>
        <w:t>2.3. Деградация конденсаторов</w:t>
      </w:r>
    </w:p>
    <w:p>
      <w:r>
        <w:t xml:space="preserve">Электролитические конденсаторы </w:t>
      </w:r>
      <w:r>
        <w:rPr>
          <w:b/>
        </w:rPr>
        <w:t>высыхают</w:t>
      </w:r>
      <w:r>
        <w:t xml:space="preserve"> со временем (особенно при нагреве): растёт ESR, падает ёмкость. Часто это «слабое звено» по сроку службы.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Показатели надёжности</w:t>
      </w:r>
    </w:p>
    <w:p>
      <w:pPr>
        <w:pStyle w:val="ListBullet"/>
      </w:pPr>
      <w:r>
        <w:rPr>
          <w:b/>
        </w:rPr>
        <w:t>Интенсивность отказов `λ`</w:t>
      </w:r>
      <w:r>
        <w:t xml:space="preserve"> — число отказов в единицу времени.</w:t>
      </w:r>
    </w:p>
    <w:p>
      <w:pPr>
        <w:pStyle w:val="ListBullet"/>
      </w:pPr>
      <w:r>
        <w:rPr>
          <w:b/>
        </w:rPr>
        <w:t>MTBF (среднее время между отказами)</w:t>
      </w:r>
      <w:r>
        <w:t xml:space="preserve"> = </w:t>
      </w:r>
      <w:r>
        <w:rPr>
          <w:rFonts w:ascii="Consolas" w:hAnsi="Consolas"/>
          <w:color w:val="C03030"/>
          <w:sz w:val="20"/>
        </w:rPr>
        <w:t>1/λ</w:t>
      </w:r>
      <w:r>
        <w:t xml:space="preserve"> (для постоянной интенсивности отказов).</w:t>
      </w:r>
    </w:p>
    <w:p>
      <w:pPr>
        <w:pStyle w:val="ListBullet"/>
      </w:pPr>
      <w:r>
        <w:rPr>
          <w:b/>
        </w:rPr>
        <w:t>Кривая «ванна»</w:t>
      </w:r>
      <w:r>
        <w:t>: высокая интенсивность в начале (приработка, отбраковка), затем низкая постоянная (нормальная эксплуатация), затем рост (износ).</w:t>
      </w:r>
    </w:p>
    <w:p>
      <w:pPr>
        <w:pStyle w:val="Heading3"/>
      </w:pPr>
      <w:r>
        <w:t>Влияние температуры — правило Аррениуса</w:t>
      </w:r>
    </w:p>
    <w:p>
      <w:r>
        <w:t xml:space="preserve">Скорость деградации экспоненциально зависит от температуры. Фактор ускорения при переходе с </w:t>
      </w:r>
      <w:r>
        <w:rPr>
          <w:rFonts w:ascii="Consolas" w:hAnsi="Consolas"/>
          <w:color w:val="C03030"/>
          <w:sz w:val="20"/>
        </w:rPr>
        <w:t>T₁</w:t>
      </w:r>
      <w:r>
        <w:t xml:space="preserve"> на </w:t>
      </w:r>
      <w:r>
        <w:rPr>
          <w:rFonts w:ascii="Consolas" w:hAnsi="Consolas"/>
          <w:color w:val="C03030"/>
          <w:sz w:val="20"/>
        </w:rPr>
        <w:t>T₂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AF = exp[(E_a/k)·(1/T₁ − 1/T₂)]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E_a</w:t>
      </w:r>
      <w:r>
        <w:t xml:space="preserve"> — энергия активации, </w:t>
      </w:r>
      <w:r>
        <w:rPr>
          <w:rFonts w:ascii="Consolas" w:hAnsi="Consolas"/>
          <w:color w:val="C03030"/>
          <w:sz w:val="20"/>
        </w:rPr>
        <w:t>k</w:t>
      </w:r>
      <w:r>
        <w:t xml:space="preserve"> — постоянная Больцмана.</w:t>
      </w:r>
    </w:p>
    <w:p>
      <w:r>
        <w:rPr>
          <w:b/>
        </w:rPr>
        <w:t>Правило «10 градусов»:</w:t>
      </w:r>
      <w:r>
        <w:t xml:space="preserve"> снижение </w:t>
      </w:r>
      <w:r>
        <w:rPr>
          <w:rFonts w:ascii="Consolas" w:hAnsi="Consolas"/>
          <w:color w:val="C03030"/>
          <w:sz w:val="20"/>
        </w:rPr>
        <w:t>T_j</w:t>
      </w:r>
      <w:r>
        <w:t xml:space="preserve"> примерно на 10 °C удваивает срок службы. Отсюда вывод: </w:t>
      </w:r>
      <w:r>
        <w:rPr>
          <w:b/>
        </w:rPr>
        <w:t>управление температурой — главный рычаг надёжности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Диагностика и защита в эксплуатации</w:t>
      </w:r>
    </w:p>
    <w:p>
      <w:pPr>
        <w:pStyle w:val="ListBullet"/>
      </w:pPr>
      <w:r>
        <w:rPr>
          <w:b/>
        </w:rPr>
        <w:t>Мониторинг температуры</w:t>
      </w:r>
      <w:r>
        <w:t xml:space="preserve"> (</w:t>
      </w:r>
      <w:r>
        <w:rPr>
          <w:rFonts w:ascii="Consolas" w:hAnsi="Consolas"/>
          <w:color w:val="C03030"/>
          <w:sz w:val="20"/>
        </w:rPr>
        <w:t>T_j</w:t>
      </w:r>
      <w:r>
        <w:t xml:space="preserve"> оценивается косвенно по параметрам прибора или термодатчиком).</w:t>
      </w:r>
    </w:p>
    <w:p>
      <w:pPr>
        <w:pStyle w:val="ListBullet"/>
      </w:pPr>
      <w:r>
        <w:rPr>
          <w:b/>
        </w:rPr>
        <w:t>Контроль тока и напряжения</w:t>
      </w:r>
      <w:r>
        <w:t xml:space="preserve"> — выявление перегрузок.</w:t>
      </w:r>
    </w:p>
    <w:p>
      <w:pPr>
        <w:pStyle w:val="ListBullet"/>
      </w:pPr>
      <w:r>
        <w:rPr>
          <w:b/>
        </w:rPr>
        <w:t>Защита от КЗ по десатурации</w:t>
      </w:r>
      <w:r>
        <w:t xml:space="preserve"> (лекция 4): рост </w:t>
      </w:r>
      <w:r>
        <w:rPr>
          <w:rFonts w:ascii="Consolas" w:hAnsi="Consolas"/>
          <w:color w:val="C03030"/>
          <w:sz w:val="20"/>
        </w:rPr>
        <w:t>V_CE</w:t>
      </w:r>
      <w:r>
        <w:t xml:space="preserve"> открытого IGBT сигнализирует о КЗ → быстрое мягкое выключение.</w:t>
      </w:r>
    </w:p>
    <w:p>
      <w:pPr>
        <w:pStyle w:val="ListBullet"/>
      </w:pPr>
      <w:r>
        <w:rPr>
          <w:b/>
        </w:rPr>
        <w:t>Прогнозирование (PHM):</w:t>
      </w:r>
      <w:r>
        <w:t xml:space="preserve"> отслеживание роста </w:t>
      </w:r>
      <w:r>
        <w:rPr>
          <w:rFonts w:ascii="Consolas" w:hAnsi="Consolas"/>
          <w:color w:val="C03030"/>
          <w:sz w:val="20"/>
        </w:rPr>
        <w:t>V_CE(sat)</w:t>
      </w:r>
      <w:r>
        <w:t xml:space="preserve"> или </w:t>
      </w:r>
      <w:r>
        <w:rPr>
          <w:rFonts w:ascii="Consolas" w:hAnsi="Consolas"/>
          <w:color w:val="C03030"/>
          <w:sz w:val="20"/>
        </w:rPr>
        <w:t>R_DS(on)</w:t>
      </w:r>
      <w:r>
        <w:t>/ESR как индикаторов старения.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Широкозонные полупроводники (WBG)</w:t>
      </w:r>
    </w:p>
    <w:p>
      <w:r>
        <w:t xml:space="preserve">Кремний (Si) приближается к физическим пределам. Новые материалы с </w:t>
      </w:r>
      <w:r>
        <w:rPr>
          <w:b/>
        </w:rPr>
        <w:t>широкой запрещённой зоной</w:t>
      </w:r>
      <w:r>
        <w:t xml:space="preserve"> дают качественный скачок.</w:t>
      </w:r>
    </w:p>
    <w:p>
      <w:pPr>
        <w:pStyle w:val="Heading3"/>
      </w:pPr>
      <w:r>
        <w:t>5.1. Карбид кремния (SiC)</w:t>
      </w:r>
    </w:p>
    <w:p>
      <w:pPr>
        <w:pStyle w:val="ListBullet"/>
      </w:pPr>
      <w:r>
        <w:t xml:space="preserve">Высокое поле пробоя → тонкая дрейфовая область → малое </w:t>
      </w:r>
      <w:r>
        <w:rPr>
          <w:rFonts w:ascii="Consolas" w:hAnsi="Consolas"/>
          <w:color w:val="C03030"/>
          <w:sz w:val="20"/>
        </w:rPr>
        <w:t>R_DS(on)</w:t>
      </w:r>
      <w:r>
        <w:t xml:space="preserve"> при высоких напряжениях (650 В…10 кВ).</w:t>
      </w:r>
    </w:p>
    <w:p>
      <w:pPr>
        <w:pStyle w:val="ListBullet"/>
      </w:pPr>
      <w:r>
        <w:t>Высокая рабочая температура и теплопроводность.</w:t>
      </w:r>
    </w:p>
    <w:p>
      <w:pPr>
        <w:pStyle w:val="ListBullet"/>
      </w:pPr>
      <w:r>
        <w:t>Малые потери переключения → высокие частоты.</w:t>
      </w:r>
    </w:p>
    <w:p>
      <w:pPr>
        <w:pStyle w:val="ListBullet"/>
      </w:pPr>
      <w:r>
        <w:t>Применение: электромобили, промышленные приводы, солнечные инверторы.</w:t>
      </w:r>
    </w:p>
    <w:p>
      <w:pPr>
        <w:pStyle w:val="Heading3"/>
      </w:pPr>
      <w:r>
        <w:t>5.2. Нитрид галлия (GaN)</w:t>
      </w:r>
    </w:p>
    <w:p>
      <w:pPr>
        <w:pStyle w:val="ListBullet"/>
      </w:pPr>
      <w:r>
        <w:t>Сверхбыстрое переключение, очень малые ёмкости и заряд затвора.</w:t>
      </w:r>
    </w:p>
    <w:p>
      <w:pPr>
        <w:pStyle w:val="ListBullet"/>
      </w:pPr>
      <w:r>
        <w:t>Высокая плотность мощности, малые габариты.</w:t>
      </w:r>
    </w:p>
    <w:p>
      <w:pPr>
        <w:pStyle w:val="ListBullet"/>
      </w:pPr>
      <w:r>
        <w:t>Обычно до ~650 В; применяется в компактных зарядных устройствах, ИВЭП, ВЧ-преобразователях.</w:t>
      </w:r>
    </w:p>
    <w:p>
      <w:pPr>
        <w:pStyle w:val="Heading3"/>
      </w:pPr>
      <w:r>
        <w:t>5.3. Сравнение с Si</w:t>
      </w:r>
    </w:p>
    <w:p>
      <w:r>
        <w:t>| Параметр | Si | SiC | GaN |</w:t>
      </w:r>
    </w:p>
    <w:p>
      <w:r>
        <w:t>|----------|----|----|-----|</w:t>
      </w:r>
    </w:p>
    <w:p>
      <w:r>
        <w:t>| Поле пробоя | низкое | высокое | высокое |</w:t>
      </w:r>
    </w:p>
    <w:p>
      <w:r>
        <w:t>| Частота | средняя | высокая | очень высокая |</w:t>
      </w:r>
    </w:p>
    <w:p>
      <w:r>
        <w:t>| Потери переключения | высокие | малые | очень малые |</w:t>
      </w:r>
    </w:p>
    <w:p>
      <w:r>
        <w:t>| Рабочая температура | до ~150 °C | до ~200 °C+ | высокая |</w:t>
      </w:r>
    </w:p>
    <w:p>
      <w:r>
        <w:t>| Стоимость | низкая | выше | выше |</w:t>
      </w:r>
    </w:p>
    <w:p>
      <w:r>
        <w:rPr>
          <w:b/>
        </w:rPr>
        <w:t>Следствие:</w:t>
      </w:r>
      <w:r>
        <w:t xml:space="preserve"> WBG позволяют поднять частоту, что уменьшает габариты дросселей и трансформаторов (</w:t>
      </w:r>
      <w:r>
        <w:rPr>
          <w:rFonts w:ascii="Consolas" w:hAnsi="Consolas"/>
          <w:color w:val="C03030"/>
          <w:sz w:val="20"/>
        </w:rPr>
        <w:t>L, C ∝ 1/f</w:t>
      </w:r>
      <w:r>
        <w:t>) при сохранении пульсаций — растёт плотность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Тренды отрасли</w:t>
      </w:r>
    </w:p>
    <w:p>
      <w:pPr>
        <w:pStyle w:val="ListBullet"/>
      </w:pPr>
      <w:r>
        <w:rPr>
          <w:b/>
        </w:rPr>
        <w:t>Цифровое управление</w:t>
      </w:r>
      <w:r>
        <w:t xml:space="preserve"> на DSP/FPGA: адаптивные алгоритмы, программная защита, связь.</w:t>
      </w:r>
    </w:p>
    <w:p>
      <w:pPr>
        <w:pStyle w:val="ListBullet"/>
      </w:pPr>
      <w:r>
        <w:rPr>
          <w:b/>
        </w:rPr>
        <w:t>Цифровые двойники</w:t>
      </w:r>
      <w:r>
        <w:t xml:space="preserve"> и предиктивное обслуживание.</w:t>
      </w:r>
    </w:p>
    <w:p>
      <w:pPr>
        <w:pStyle w:val="ListBullet"/>
      </w:pPr>
      <w:r>
        <w:rPr>
          <w:b/>
        </w:rPr>
        <w:t>Интеграция</w:t>
      </w:r>
      <w:r>
        <w:t>: модули с драйвером, датчиками и защитой в одном корпусе.</w:t>
      </w:r>
    </w:p>
    <w:p>
      <w:pPr>
        <w:pStyle w:val="ListBullet"/>
      </w:pPr>
      <w:r>
        <w:rPr>
          <w:b/>
        </w:rPr>
        <w:t>Рост плотности мощности</w:t>
      </w:r>
      <w:r>
        <w:t xml:space="preserve"> за счёт WBG и резонансных топологий.</w:t>
      </w:r>
    </w:p>
    <w:p>
      <w:pPr>
        <w:pStyle w:val="ListBullet"/>
      </w:pPr>
      <w:r>
        <w:rPr>
          <w:b/>
        </w:rPr>
        <w:t>Электрификация транспорта</w:t>
      </w:r>
      <w:r>
        <w:t xml:space="preserve"> и распределённая энергетика как драйверы спроса.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E_a ≈ 0.7 эВ</w:t>
      </w:r>
      <w:r>
        <w:t xml:space="preserve"> снижение </w:t>
      </w:r>
      <w:r>
        <w:rPr>
          <w:rFonts w:ascii="Consolas" w:hAnsi="Consolas"/>
          <w:color w:val="C03030"/>
          <w:sz w:val="20"/>
        </w:rPr>
        <w:t>T_j</w:t>
      </w:r>
      <w:r>
        <w:t xml:space="preserve"> с 110 до 100 °C даёт фактор ускорения </w:t>
      </w:r>
      <w:r>
        <w:rPr>
          <w:rFonts w:ascii="Consolas" w:hAnsi="Consolas"/>
          <w:color w:val="C03030"/>
          <w:sz w:val="20"/>
        </w:rPr>
        <w:t>AF ≈ 2</w:t>
      </w:r>
      <w:r>
        <w:t xml:space="preserve"> — срок службы примерно удваивается. Это количественно подтверждает правило «10 градусов».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>Главные механизмы износа — термоциклирование (усталость соединений) и старение конденсаторов.</w:t>
      </w:r>
    </w:p>
    <w:p>
      <w:pPr>
        <w:pStyle w:val="ListNumber"/>
      </w:pPr>
      <w:r>
        <w:t>Надёжность экспоненциально зависит от температуры (Аррениус); правило «10 градусов» — ключевой ориентир.</w:t>
      </w:r>
    </w:p>
    <w:p>
      <w:pPr>
        <w:pStyle w:val="ListNumber"/>
      </w:pPr>
      <w:r>
        <w:t xml:space="preserve">Диагностика: мониторинг </w:t>
      </w:r>
      <w:r>
        <w:rPr>
          <w:rFonts w:ascii="Consolas" w:hAnsi="Consolas"/>
          <w:color w:val="C03030"/>
          <w:sz w:val="20"/>
        </w:rPr>
        <w:t>T_j</w:t>
      </w:r>
      <w:r>
        <w:t xml:space="preserve">, тока, защита по десатурации, прогноз по росту </w:t>
      </w:r>
      <w:r>
        <w:rPr>
          <w:rFonts w:ascii="Consolas" w:hAnsi="Consolas"/>
          <w:color w:val="C03030"/>
          <w:sz w:val="20"/>
        </w:rPr>
        <w:t>V_CE(sat)</w:t>
      </w:r>
      <w:r>
        <w:t>/ESR.</w:t>
      </w:r>
    </w:p>
    <w:p>
      <w:pPr>
        <w:pStyle w:val="ListNumber"/>
      </w:pPr>
      <w:r>
        <w:t>SiC и GaN поднимают напряжение, частоту и КПД, повышая плотность мощности — ценой стоимости и требований к проектированию.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термоциклирование критично для срока службы модулей?</w:t>
      </w:r>
    </w:p>
    <w:p>
      <w:pPr>
        <w:pStyle w:val="ListNumber"/>
      </w:pPr>
      <w:r>
        <w:t>Как правило Аррениуса связывает температуру и срок службы?</w:t>
      </w:r>
    </w:p>
    <w:p>
      <w:pPr>
        <w:pStyle w:val="ListNumber"/>
      </w:pPr>
      <w:r>
        <w:t>Какие преимущества SiC/GaN над Si и какова их цена?</w:t>
      </w:r>
    </w:p>
    <w:p>
      <w:pPr>
        <w:pStyle w:val="ListNumber"/>
      </w:pPr>
      <w:r>
        <w:t>Как защита по десатурации обнаруживает короткое замыкание?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сравнение Si и SiC/GaN ключа по потерям.</w:t>
      </w:r>
    </w:p>
    <w:p>
      <w:r>
        <w:t>────────────────────────────────────────</w:t>
      </w:r>
    </w:p>
    <w:p>
      <w:pPr>
        <w:pStyle w:val="IntenseQuote"/>
      </w:pPr>
      <w:r>
        <w:t>На этом теоретический курс завершён. Лекции 1–17 покрывают путь от элементной базы до систем и трендов. Практическое закрепление — в 17 связанных лабораторных работах.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