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12. Переходные процессы и специальные машины</w:t>
      </w:r>
    </w:p>
    <w:p>
      <w:r>
        <w:rPr>
          <w:b/>
        </w:rPr>
        <w:t>Модуль IV. Переходные процессы и специальные машины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Внезапное короткое замыкание</w:t>
      </w:r>
    </w:p>
    <w:p>
      <w:r>
        <w:t>При внезапном трёхфазном КЗ на зажимах генератора ток якоря резко возрастает. Из-за инерции магнитных потоков (закон постоянства потокосцепления) в первый момент машина ведёт себя иначе, чем в установившемся КЗ:</w:t>
      </w:r>
    </w:p>
    <w:p>
      <w:pPr>
        <w:pStyle w:val="ListBullet"/>
      </w:pPr>
      <w:r>
        <w:rPr>
          <w:b/>
        </w:rPr>
        <w:t>первый момент:</w:t>
      </w:r>
      <w:r>
        <w:t xml:space="preserve"> ток ограничен только малой </w:t>
      </w:r>
      <w:r>
        <w:rPr>
          <w:b/>
        </w:rPr>
        <w:t>сверхпереходной</w:t>
      </w:r>
      <w:r>
        <w:t xml:space="preserve"> реактивностью → ток максимален (ударный);</w:t>
      </w:r>
    </w:p>
    <w:p>
      <w:pPr>
        <w:pStyle w:val="ListBullet"/>
      </w:pPr>
      <w:r>
        <w:t xml:space="preserve">затем апериодическая и периодическая составляющие </w:t>
      </w:r>
      <w:r>
        <w:rPr>
          <w:b/>
        </w:rPr>
        <w:t>затухают</w:t>
      </w:r>
      <w:r>
        <w:t xml:space="preserve">, ток снижается до установившегося значения, определяемого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r>
        <w:t>Качественно ток КЗ = установившаяся периодическая составляющая + затухающая периодическая (сверхпереходная и переходная) + затухающая апериодическая составляющая.</w:t>
      </w:r>
    </w:p>
    <w:p>
      <w:r>
        <w:t>Ударный ток может в 10–15 раз превышать номинальный — на это рассчитывают электродинамическую стойкость аппаратов и защиту.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894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2_sh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9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Ток внезапного КЗ: затухающая огибающая, переход X″_d → X′_d → X_d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Переходные и сверхпереходные реактивности</w:t>
      </w:r>
    </w:p>
    <w:p>
      <w:r>
        <w:t>Магнитная инерция контуров ротора (обмотки возбуждения и демпферной) приводит к тому, что в разные моменты времени машина характеризуется разными реактивностями:</w:t>
      </w:r>
    </w:p>
    <w:p>
      <w:r>
        <w:t>| Реактивность | Когда «работает» | Соотношение |</w:t>
      </w:r>
    </w:p>
    <w:p>
      <w:r>
        <w:t>|--------------|------------------|-------------|</w:t>
      </w:r>
    </w:p>
    <w:p>
      <w:r>
        <w:t xml:space="preserve">| </w:t>
      </w:r>
      <w:r>
        <w:rPr>
          <w:b/>
        </w:rPr>
        <w:t>Сверхпереходная</w:t>
      </w:r>
      <w:r>
        <w:t xml:space="preserve"> </w:t>
      </w:r>
      <w:r>
        <w:rPr>
          <w:rFonts w:ascii="Consolas" w:hAnsi="Consolas"/>
          <w:color w:val="C03030"/>
          <w:sz w:val="20"/>
        </w:rPr>
        <w:t>X″_d</w:t>
      </w:r>
      <w:r>
        <w:t xml:space="preserve"> | первые периоды (действуют демпферная обмотка и обмотка возбуждения) | наименьшая |</w:t>
      </w:r>
    </w:p>
    <w:p>
      <w:r>
        <w:t xml:space="preserve">| </w:t>
      </w:r>
      <w:r>
        <w:rPr>
          <w:b/>
        </w:rPr>
        <w:t>Переходная</w:t>
      </w:r>
      <w:r>
        <w:t xml:space="preserve"> </w:t>
      </w:r>
      <w:r>
        <w:rPr>
          <w:rFonts w:ascii="Consolas" w:hAnsi="Consolas"/>
          <w:color w:val="C03030"/>
          <w:sz w:val="20"/>
        </w:rPr>
        <w:t>X′_d</w:t>
      </w:r>
      <w:r>
        <w:t xml:space="preserve"> | после затухания токов в демпферной обмотке | средняя |</w:t>
      </w:r>
    </w:p>
    <w:p>
      <w:r>
        <w:t xml:space="preserve">| </w:t>
      </w:r>
      <w:r>
        <w:rPr>
          <w:b/>
        </w:rPr>
        <w:t>Синхронная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| установившийся режим | наибольшая |</w:t>
      </w:r>
    </w:p>
    <w:p>
      <w:r>
        <w:t xml:space="preserve">Соотношение: </w:t>
      </w:r>
      <w:r>
        <w:rPr>
          <w:rFonts w:ascii="Consolas" w:hAnsi="Consolas"/>
          <w:color w:val="C03030"/>
          <w:sz w:val="20"/>
        </w:rPr>
        <w:t>X″_d &lt; X′_d &lt; X_d</w:t>
      </w:r>
      <w:r>
        <w:t>.</w:t>
      </w:r>
    </w:p>
    <w:p>
      <w:r>
        <w:t xml:space="preserve">Затухание описывается </w:t>
      </w:r>
      <w:r>
        <w:rPr>
          <w:b/>
        </w:rPr>
        <w:t>постоянными времени</w:t>
      </w:r>
      <w:r>
        <w:t xml:space="preserve"> </w:t>
      </w:r>
      <w:r>
        <w:rPr>
          <w:rFonts w:ascii="Consolas" w:hAnsi="Consolas"/>
          <w:color w:val="C03030"/>
          <w:sz w:val="20"/>
        </w:rPr>
        <w:t>T″_d</w:t>
      </w:r>
      <w:r>
        <w:t xml:space="preserve">, </w:t>
      </w:r>
      <w:r>
        <w:rPr>
          <w:rFonts w:ascii="Consolas" w:hAnsi="Consolas"/>
          <w:color w:val="C03030"/>
          <w:sz w:val="20"/>
        </w:rPr>
        <w:t>T′_d</w:t>
      </w:r>
      <w:r>
        <w:t xml:space="preserve"> (сверхпереходная и переходная) — они определяют, как быстро ток спадает от ударного к установившемуся.</w:t>
      </w:r>
    </w:p>
    <w:p>
      <w:r>
        <w:t>Эти параметры критичны для расчёта токов КЗ, выбора аппаратуры и настройки релейной защиты.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Краткое представление об уравнениях Парка (dq0)</w:t>
      </w:r>
    </w:p>
    <w:p>
      <w:r>
        <w:t>Для анализа переходных процессов трёхфазные величины (</w:t>
      </w:r>
      <w:r>
        <w:rPr>
          <w:rFonts w:ascii="Consolas" w:hAnsi="Consolas"/>
          <w:color w:val="C03030"/>
          <w:sz w:val="20"/>
        </w:rPr>
        <w:t>a, b, c</w:t>
      </w:r>
      <w:r>
        <w:t xml:space="preserve">) преобразуют в систему координат </w:t>
      </w:r>
      <w:r>
        <w:rPr>
          <w:rFonts w:ascii="Consolas" w:hAnsi="Consolas"/>
          <w:color w:val="C03030"/>
          <w:sz w:val="20"/>
        </w:rPr>
        <w:t>d–q–0</w:t>
      </w:r>
      <w:r>
        <w:t>, вращающуюся вместе с ротором (</w:t>
      </w:r>
      <w:r>
        <w:rPr>
          <w:b/>
        </w:rPr>
        <w:t>преобразование Парка</w:t>
      </w:r>
      <w:r>
        <w:t>). При этом синусоидальные величины в установившемся режиме становятся постоянными, а индуктивности — не зависящими от угла поворота. Это резко упрощает анализ переходных процессов и синтез систем управления приводом.</w:t>
      </w:r>
    </w:p>
    <w:p>
      <w:r>
        <w:t xml:space="preserve">В осях </w:t>
      </w:r>
      <w:r>
        <w:rPr>
          <w:rFonts w:ascii="Consolas" w:hAnsi="Consolas"/>
          <w:color w:val="C03030"/>
          <w:sz w:val="20"/>
        </w:rPr>
        <w:t>d–q</w:t>
      </w:r>
      <w:r>
        <w:t xml:space="preserve"> машина описывается уравнениями потокосцеплений и напряжений по каждой оси с параметрами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X_q</w:t>
      </w:r>
      <w:r>
        <w:t xml:space="preserve">, </w:t>
      </w:r>
      <w:r>
        <w:rPr>
          <w:rFonts w:ascii="Consolas" w:hAnsi="Consolas"/>
          <w:color w:val="C03030"/>
          <w:sz w:val="20"/>
        </w:rPr>
        <w:t>X′_d</w:t>
      </w:r>
      <w:r>
        <w:t xml:space="preserve">, </w:t>
      </w:r>
      <w:r>
        <w:rPr>
          <w:rFonts w:ascii="Consolas" w:hAnsi="Consolas"/>
          <w:color w:val="C03030"/>
          <w:sz w:val="20"/>
        </w:rPr>
        <w:t>X″_d</w:t>
      </w:r>
      <w:r>
        <w:t xml:space="preserve"> и постоянными времени. Подробный вывод выходит за рамки курса, но идея — основа векторного управления (FOC) синхронным приводом.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Специальные синхронные машины</w:t>
      </w:r>
    </w:p>
    <w:p>
      <w:pPr>
        <w:pStyle w:val="Heading3"/>
      </w:pPr>
      <w:r>
        <w:t>4.1. Синхронные машины с постоянными магнитами (PMSM, СДПМ)</w:t>
      </w:r>
    </w:p>
    <w:p>
      <w:r>
        <w:t xml:space="preserve">Поле возбуждения создают </w:t>
      </w:r>
      <w:r>
        <w:rPr>
          <w:b/>
        </w:rPr>
        <w:t>постоянные магниты</w:t>
      </w:r>
      <w:r>
        <w:t xml:space="preserve"> на роторе. Нет обмотки возбуждения, колец и потерь на возбуждение → высокий КПД и удельная мощность. ЭДС синусоидальна. Применяются в сервоприводах, электромобилях, станках. Недостаток — нельзя регулировать поток магнитов (только реакцией якоря).</w:t>
      </w:r>
    </w:p>
    <w:p>
      <w:pPr>
        <w:pStyle w:val="Heading3"/>
      </w:pPr>
      <w:r>
        <w:t>4.2. Вентильный двигатель BLDC</w:t>
      </w:r>
    </w:p>
    <w:p>
      <w:r>
        <w:t xml:space="preserve">Конструктивно близок к PMSM, но ЭДС </w:t>
      </w:r>
      <w:r>
        <w:rPr>
          <w:b/>
        </w:rPr>
        <w:t>трапецеидальная</w:t>
      </w:r>
      <w:r>
        <w:t>, управляется блоками по 120° (по датчикам положения). Прост в управлении, дёшев; применяется в вентиляторах, бытовой технике, дронах.</w:t>
      </w:r>
    </w:p>
    <w:p>
      <w:pPr>
        <w:pStyle w:val="Heading3"/>
      </w:pPr>
      <w:r>
        <w:t>4.3. Реактивный и синхронно-реактивный двигатель (SynRM)</w:t>
      </w:r>
    </w:p>
    <w:p>
      <w:r>
        <w:t xml:space="preserve">Работает только за счёт </w:t>
      </w:r>
      <w:r>
        <w:rPr>
          <w:b/>
        </w:rPr>
        <w:t>реактивного момента</w:t>
      </w:r>
      <w:r>
        <w:t xml:space="preserve"> (</w:t>
      </w:r>
      <w:r>
        <w:rPr>
          <w:rFonts w:ascii="Consolas" w:hAnsi="Consolas"/>
          <w:color w:val="C03030"/>
          <w:sz w:val="20"/>
        </w:rPr>
        <w:t>X_d ≠ X_q</w:t>
      </w:r>
      <w:r>
        <w:t>), без магнитов и возбуждения. Дешёвый и надёжный ротор; в паре с современным управлением конкурирует с асинхронным приводом по КПД.</w:t>
      </w:r>
    </w:p>
    <w:p>
      <w:pPr>
        <w:pStyle w:val="Heading3"/>
      </w:pPr>
      <w:r>
        <w:t>4.4. Шаговый двигатель</w:t>
      </w:r>
    </w:p>
    <w:p>
      <w:r>
        <w:t>Дискретное вращение по шагам; разновидность синхронной машины для точного позиционирования без обратной связи.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Современные тренды</w:t>
      </w:r>
    </w:p>
    <w:p>
      <w:pPr>
        <w:pStyle w:val="ListBullet"/>
      </w:pPr>
      <w:r>
        <w:rPr>
          <w:b/>
        </w:rPr>
        <w:t>Высококоэрцитивные магниты</w:t>
      </w:r>
      <w:r>
        <w:t xml:space="preserve"> (NdFeB) → компактные мощные PMSM.</w:t>
      </w:r>
    </w:p>
    <w:p>
      <w:pPr>
        <w:pStyle w:val="ListBullet"/>
      </w:pPr>
      <w:r>
        <w:rPr>
          <w:b/>
        </w:rPr>
        <w:t>Прямой привод (direct drive)</w:t>
      </w:r>
      <w:r>
        <w:t xml:space="preserve"> без редуктора, в т. ч. тихоходные генераторы для </w:t>
      </w:r>
      <w:r>
        <w:rPr>
          <w:b/>
        </w:rPr>
        <w:t>ветроэнергетики</w:t>
      </w:r>
      <w:r>
        <w:t>.</w:t>
      </w:r>
    </w:p>
    <w:p>
      <w:pPr>
        <w:pStyle w:val="ListBullet"/>
      </w:pPr>
      <w:r>
        <w:rPr>
          <w:b/>
        </w:rPr>
        <w:t>Векторное управление (FOC)</w:t>
      </w:r>
      <w:r>
        <w:t xml:space="preserve"> на базе dq-модели → высокое качество регулирования момента и скорости.</w:t>
      </w:r>
    </w:p>
    <w:p>
      <w:pPr>
        <w:pStyle w:val="ListBullet"/>
      </w:pPr>
      <w:r>
        <w:rPr>
          <w:b/>
        </w:rPr>
        <w:t>Безредукторные тяговые приводы</w:t>
      </w:r>
      <w:r>
        <w:t xml:space="preserve"> электромобилей и транспорта на PMSM/SynRM.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(оценка ударного тока)</w:t>
      </w:r>
    </w:p>
    <w:p>
      <w:r>
        <w:rPr>
          <w:b/>
        </w:rPr>
        <w:t>Задача.</w:t>
      </w:r>
      <w:r>
        <w:t xml:space="preserve"> Генератор: </w:t>
      </w:r>
      <w:r>
        <w:rPr>
          <w:rFonts w:ascii="Consolas" w:hAnsi="Consolas"/>
          <w:color w:val="C03030"/>
          <w:sz w:val="20"/>
        </w:rPr>
        <w:t>E₀ = 1.0</w:t>
      </w:r>
      <w:r>
        <w:t xml:space="preserve"> о.е., </w:t>
      </w:r>
      <w:r>
        <w:rPr>
          <w:rFonts w:ascii="Consolas" w:hAnsi="Consolas"/>
          <w:color w:val="C03030"/>
          <w:sz w:val="20"/>
        </w:rPr>
        <w:t>X″_d = 0.12</w:t>
      </w:r>
      <w:r>
        <w:t xml:space="preserve"> о.е. Оценить начальный сверхпереходный ток КЗ (без учёта апериодики) и сравнить с установившимся при </w:t>
      </w:r>
      <w:r>
        <w:rPr>
          <w:rFonts w:ascii="Consolas" w:hAnsi="Consolas"/>
          <w:color w:val="C03030"/>
          <w:sz w:val="20"/>
        </w:rPr>
        <w:t>X_d = 1.0</w:t>
      </w:r>
      <w:r>
        <w:t xml:space="preserve"> о.е.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I″ = E₀ / X″_d = 1.0 / 0.12 ≈ 8.3 о.е.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I_уст = E₀ / X_d = 1.0 / 1.0 = 1.0 о.е.</w:t>
      </w:r>
    </w:p>
    <w:p>
      <w:r>
        <w:t>Сверхпереходный ток в ≈ 8 раз больше установившегося — отсюда требования к стойкости аппаратов.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При внезапном КЗ ток ограничен сначала </w:t>
      </w:r>
      <w:r>
        <w:rPr>
          <w:rFonts w:ascii="Consolas" w:hAnsi="Consolas"/>
          <w:color w:val="C03030"/>
          <w:sz w:val="20"/>
        </w:rPr>
        <w:t>X″_d</w:t>
      </w:r>
      <w:r>
        <w:t xml:space="preserve">, затем </w:t>
      </w:r>
      <w:r>
        <w:rPr>
          <w:rFonts w:ascii="Consolas" w:hAnsi="Consolas"/>
          <w:color w:val="C03030"/>
          <w:sz w:val="20"/>
        </w:rPr>
        <w:t>X′_d</w:t>
      </w:r>
      <w:r>
        <w:t xml:space="preserve">, в установившемся режиме — </w:t>
      </w:r>
      <w:r>
        <w:rPr>
          <w:rFonts w:ascii="Consolas" w:hAnsi="Consolas"/>
          <w:color w:val="C03030"/>
          <w:sz w:val="20"/>
        </w:rPr>
        <w:t>X_d</w:t>
      </w:r>
      <w:r>
        <w:t xml:space="preserve"> (</w:t>
      </w:r>
      <w:r>
        <w:rPr>
          <w:rFonts w:ascii="Consolas" w:hAnsi="Consolas"/>
          <w:color w:val="C03030"/>
          <w:sz w:val="20"/>
        </w:rPr>
        <w:t>X″_d &lt; X′_d &lt; X_d</w:t>
      </w:r>
      <w:r>
        <w:t>).</w:t>
      </w:r>
    </w:p>
    <w:p>
      <w:pPr>
        <w:pStyle w:val="ListNumber"/>
      </w:pPr>
      <w:r>
        <w:t xml:space="preserve">Затухание описывается постоянными времени </w:t>
      </w:r>
      <w:r>
        <w:rPr>
          <w:rFonts w:ascii="Consolas" w:hAnsi="Consolas"/>
          <w:color w:val="C03030"/>
          <w:sz w:val="20"/>
        </w:rPr>
        <w:t>T″_d</w:t>
      </w:r>
      <w:r>
        <w:t xml:space="preserve">, </w:t>
      </w:r>
      <w:r>
        <w:rPr>
          <w:rFonts w:ascii="Consolas" w:hAnsi="Consolas"/>
          <w:color w:val="C03030"/>
          <w:sz w:val="20"/>
        </w:rPr>
        <w:t>T′_d</w:t>
      </w:r>
      <w:r>
        <w:t>; ударный ток — основа выбора аппаратуры.</w:t>
      </w:r>
    </w:p>
    <w:p>
      <w:pPr>
        <w:pStyle w:val="ListNumber"/>
      </w:pPr>
      <w:r>
        <w:t>Преобразование Парка (</w:t>
      </w:r>
      <w:r>
        <w:rPr>
          <w:rFonts w:ascii="Consolas" w:hAnsi="Consolas"/>
          <w:color w:val="C03030"/>
          <w:sz w:val="20"/>
        </w:rPr>
        <w:t>d–q–0</w:t>
      </w:r>
      <w:r>
        <w:t>) упрощает анализ переходных процессов и лежит в основе FOC.</w:t>
      </w:r>
    </w:p>
    <w:p>
      <w:pPr>
        <w:pStyle w:val="ListNumber"/>
      </w:pPr>
      <w:r>
        <w:t>Специальные машины: PMSM, BLDC, SynRM, шаговые — каждая со своей нишей.</w:t>
      </w:r>
    </w:p>
    <w:p>
      <w:pPr>
        <w:pStyle w:val="ListNumber"/>
      </w:pPr>
      <w:r>
        <w:t>Тренды: магниты NdFeB, прямой привод, векторное управление, генераторы для ВИЭ.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ток внезапного КЗ сначала больше, а затем спадает?</w:t>
      </w:r>
    </w:p>
    <w:p>
      <w:pPr>
        <w:pStyle w:val="ListNumber"/>
      </w:pPr>
      <w:r>
        <w:t xml:space="preserve">Чем отличаются </w:t>
      </w:r>
      <w:r>
        <w:rPr>
          <w:rFonts w:ascii="Consolas" w:hAnsi="Consolas"/>
          <w:color w:val="C03030"/>
          <w:sz w:val="20"/>
        </w:rPr>
        <w:t>X″_d</w:t>
      </w:r>
      <w:r>
        <w:t xml:space="preserve">, </w:t>
      </w:r>
      <w:r>
        <w:rPr>
          <w:rFonts w:ascii="Consolas" w:hAnsi="Consolas"/>
          <w:color w:val="C03030"/>
          <w:sz w:val="20"/>
        </w:rPr>
        <w:t>X′_d</w:t>
      </w:r>
      <w:r>
        <w:t xml:space="preserve"> и </w:t>
      </w:r>
      <w:r>
        <w:rPr>
          <w:rFonts w:ascii="Consolas" w:hAnsi="Consolas"/>
          <w:color w:val="C03030"/>
          <w:sz w:val="20"/>
        </w:rPr>
        <w:t>X_d</w:t>
      </w:r>
      <w:r>
        <w:t xml:space="preserve"> и когда «работает» каждая?</w:t>
      </w:r>
    </w:p>
    <w:p>
      <w:pPr>
        <w:pStyle w:val="ListNumber"/>
      </w:pPr>
      <w:r>
        <w:t>Зачем нужно преобразование Парка?</w:t>
      </w:r>
    </w:p>
    <w:p>
      <w:pPr>
        <w:pStyle w:val="ListNumber"/>
      </w:pPr>
      <w:r>
        <w:t>Чем PMSM отличается от BLDC и от SynRM?</w:t>
      </w:r>
    </w:p>
    <w:p>
      <w:pPr>
        <w:pStyle w:val="Heading2"/>
      </w:pPr>
      <w:r>
        <w:t>Связанная лабораторная</w:t>
      </w:r>
    </w:p>
    <w:p>
      <w:r>
        <w:t xml:space="preserve">Материал обобщается; практический акцент — в </w:t>
      </w:r>
      <w:r>
        <w:rPr>
          <w:rFonts w:ascii="Consolas" w:hAnsi="Consolas"/>
          <w:color w:val="C03030"/>
          <w:sz w:val="20"/>
        </w:rPr>
        <w:t>Лаб04</w:t>
      </w:r>
      <w:r>
        <w:t xml:space="preserve"> (двигательный режим).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