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02. Внешние и регулировочные характеристики генератора</w:t>
      </w:r>
    </w:p>
    <w:p>
      <w:r>
        <w:rPr>
          <w:b/>
        </w:rPr>
        <w:t>Тема:</w:t>
      </w:r>
      <w:r>
        <w:t xml:space="preserve"> Снятие внешних </w:t>
      </w:r>
      <w:r>
        <w:rPr>
          <w:rFonts w:ascii="Consolas" w:hAnsi="Consolas"/>
          <w:color w:val="C03030"/>
          <w:sz w:val="20"/>
        </w:rPr>
        <w:t>U(I)</w:t>
      </w:r>
      <w:r>
        <w:t xml:space="preserve"> и регулировочных </w:t>
      </w:r>
      <w:r>
        <w:rPr>
          <w:rFonts w:ascii="Consolas" w:hAnsi="Consolas"/>
          <w:color w:val="C03030"/>
          <w:sz w:val="20"/>
        </w:rPr>
        <w:t>I_в(I)</w:t>
      </w:r>
      <w:r>
        <w:t xml:space="preserve"> характеристик синхронного генератора при разных характерах нагрузки.</w:t>
      </w:r>
    </w:p>
    <w:p>
      <w:r>
        <w:rPr>
          <w:b/>
        </w:rPr>
        <w:t>Закрепляет лекции:</w:t>
      </w:r>
      <w:r>
        <w:t xml:space="preserve"> 04, 06–07.</w:t>
      </w:r>
    </w:p>
    <w:p>
      <w:pPr>
        <w:pStyle w:val="Heading2"/>
      </w:pPr>
      <w:r>
        <w:t>Цель</w:t>
      </w:r>
    </w:p>
    <w:p>
      <w:r>
        <w:t xml:space="preserve">Экспериментально получить внешние и регулировочные характеристики при </w:t>
      </w:r>
      <w:r>
        <w:rPr>
          <w:rFonts w:ascii="Consolas" w:hAnsi="Consolas"/>
          <w:color w:val="C03030"/>
          <w:sz w:val="20"/>
        </w:rPr>
        <w:t>cos φ = 1</w:t>
      </w:r>
      <w:r>
        <w:t xml:space="preserve">, </w:t>
      </w:r>
      <w:r>
        <w:rPr>
          <w:rFonts w:ascii="Consolas" w:hAnsi="Consolas"/>
          <w:color w:val="C03030"/>
          <w:sz w:val="20"/>
        </w:rPr>
        <w:t>cos φ = 0.8</w:t>
      </w:r>
      <w:r>
        <w:t xml:space="preserve"> (инд.) и </w:t>
      </w:r>
      <w:r>
        <w:rPr>
          <w:rFonts w:ascii="Consolas" w:hAnsi="Consolas"/>
          <w:color w:val="C03030"/>
          <w:sz w:val="20"/>
        </w:rPr>
        <w:t>cos φ = 0.8</w:t>
      </w:r>
      <w:r>
        <w:t xml:space="preserve"> (емк.); объяснить их вид через реакцию якоря; рассчитать номинальное изменение напряжения.</w:t>
      </w:r>
    </w:p>
    <w:p>
      <w:pPr>
        <w:pStyle w:val="Heading2"/>
      </w:pPr>
      <w:r>
        <w:t>Теория и расчёт (выполнить до симуляции)</w:t>
      </w:r>
    </w:p>
    <w:p>
      <w:r>
        <w:t xml:space="preserve">Уравнение неявнополюсного генератора: </w:t>
      </w:r>
      <w:r>
        <w:rPr>
          <w:rFonts w:ascii="Consolas" w:hAnsi="Consolas"/>
          <w:color w:val="C03030"/>
          <w:sz w:val="20"/>
        </w:rPr>
        <w:t>E₀ = U + j·I·X_d</w:t>
      </w:r>
      <w:r>
        <w:t xml:space="preserve"> (при </w:t>
      </w:r>
      <w:r>
        <w:rPr>
          <w:rFonts w:ascii="Consolas" w:hAnsi="Consolas"/>
          <w:color w:val="C03030"/>
          <w:sz w:val="20"/>
        </w:rPr>
        <w:t>R_a ≈ 0</w:t>
      </w:r>
      <w:r>
        <w:t>).</w:t>
      </w:r>
    </w:p>
    <w:p>
      <w:r>
        <w:t>Номинальное изменение напряжения: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ΔU% = (E₀ − U_ном)/U_ном · 100%</w:t>
      </w:r>
    </w:p>
    <w:p>
      <w:r>
        <w:t xml:space="preserve">Ожидаемо: при индуктивной нагрузке </w:t>
      </w:r>
      <w:r>
        <w:rPr>
          <w:rFonts w:ascii="Consolas" w:hAnsi="Consolas"/>
          <w:color w:val="C03030"/>
          <w:sz w:val="20"/>
        </w:rPr>
        <w:t>U</w:t>
      </w:r>
      <w:r>
        <w:t xml:space="preserve"> падает сильнее, при ёмкостной — может расти.</w:t>
      </w:r>
    </w:p>
    <w:p>
      <w:r>
        <w:rPr>
          <w:b/>
        </w:rPr>
        <w:t>Дано:</w:t>
      </w:r>
      <w:r>
        <w:t xml:space="preserve"> генератор из </w:t>
      </w:r>
      <w:r>
        <w:rPr>
          <w:rFonts w:ascii="Consolas" w:hAnsi="Consolas"/>
          <w:color w:val="C03030"/>
          <w:sz w:val="20"/>
        </w:rPr>
        <w:t>Лаб01</w:t>
      </w:r>
      <w:r>
        <w:t xml:space="preserve"> (</w:t>
      </w:r>
      <w:r>
        <w:rPr>
          <w:rFonts w:ascii="Consolas" w:hAnsi="Consolas"/>
          <w:color w:val="C03030"/>
          <w:sz w:val="20"/>
        </w:rPr>
        <w:t>U_ном.ф = 231 В</w:t>
      </w:r>
      <w:r>
        <w:t xml:space="preserve">, </w:t>
      </w:r>
      <w:r>
        <w:rPr>
          <w:rFonts w:ascii="Consolas" w:hAnsi="Consolas"/>
          <w:color w:val="C03030"/>
          <w:sz w:val="20"/>
        </w:rPr>
        <w:t>I_ном ≈ 11.7 А</w:t>
      </w:r>
      <w:r>
        <w:t xml:space="preserve">, </w:t>
      </w:r>
      <w:r>
        <w:rPr>
          <w:rFonts w:ascii="Consolas" w:hAnsi="Consolas"/>
          <w:color w:val="C03030"/>
          <w:sz w:val="20"/>
        </w:rPr>
        <w:t>X_d</w:t>
      </w:r>
      <w:r>
        <w:t xml:space="preserve"> — из </w:t>
      </w:r>
      <w:r>
        <w:rPr>
          <w:rFonts w:ascii="Consolas" w:hAnsi="Consolas"/>
          <w:color w:val="C03030"/>
          <w:sz w:val="20"/>
        </w:rPr>
        <w:t>Лаб01</w:t>
      </w:r>
      <w:r>
        <w:t>).</w:t>
      </w:r>
    </w:p>
    <w:p>
      <w:r>
        <w:t xml:space="preserve">Предварительный расчёт </w:t>
      </w:r>
      <w:r>
        <w:rPr>
          <w:rFonts w:ascii="Consolas" w:hAnsi="Consolas"/>
          <w:color w:val="C03030"/>
          <w:sz w:val="20"/>
        </w:rPr>
        <w:t>E₀</w:t>
      </w:r>
      <w:r>
        <w:t xml:space="preserve"> для </w:t>
      </w:r>
      <w:r>
        <w:rPr>
          <w:rFonts w:ascii="Consolas" w:hAnsi="Consolas"/>
          <w:color w:val="C03030"/>
          <w:sz w:val="20"/>
        </w:rPr>
        <w:t>I = I_ном</w:t>
      </w:r>
      <w:r>
        <w:t xml:space="preserve"> при трёх </w:t>
      </w:r>
      <w:r>
        <w:rPr>
          <w:rFonts w:ascii="Consolas" w:hAnsi="Consolas"/>
          <w:color w:val="C03030"/>
          <w:sz w:val="20"/>
        </w:rPr>
        <w:t>cos φ</w:t>
      </w:r>
      <w:r>
        <w:t xml:space="preserve"> (использовать </w:t>
      </w:r>
      <w:r>
        <w:rPr>
          <w:rFonts w:ascii="Consolas" w:hAnsi="Consolas"/>
          <w:color w:val="C03030"/>
          <w:sz w:val="20"/>
        </w:rPr>
        <w:t>X_d</w:t>
      </w:r>
      <w:r>
        <w:t xml:space="preserve"> из Лаб01):</w:t>
      </w:r>
    </w:p>
    <w:p>
      <w:pPr>
        <w:pStyle w:val="ListBullet"/>
      </w:pPr>
      <w:r>
        <w:t xml:space="preserve">активная: </w:t>
      </w:r>
      <w:r>
        <w:rPr>
          <w:rFonts w:ascii="Consolas" w:hAnsi="Consolas"/>
          <w:color w:val="C03030"/>
          <w:sz w:val="20"/>
        </w:rPr>
        <w:t>E₀ = √((U)² + (I·X_d)²)</w:t>
      </w:r>
      <w:r>
        <w:t xml:space="preserve"> (приближённо);</w:t>
      </w:r>
    </w:p>
    <w:p>
      <w:pPr>
        <w:pStyle w:val="ListBullet"/>
      </w:pPr>
      <w:r>
        <w:t>индуктивная/ёмкостная: учесть знак реактивной составляющей.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A. Модель (Simulink)</w:t>
      </w:r>
    </w:p>
    <w:p>
      <w:pPr>
        <w:pStyle w:val="Heading3"/>
      </w:pPr>
      <w:r>
        <w:t>A1. Схема</w:t>
      </w:r>
    </w:p>
    <w:p>
      <w:pPr>
        <w:pStyle w:val="ListNumber"/>
      </w:pPr>
      <w:r>
        <w:rPr>
          <w:rFonts w:ascii="Consolas" w:hAnsi="Consolas"/>
          <w:color w:val="C03030"/>
          <w:sz w:val="20"/>
        </w:rPr>
        <w:t>Synchronous Machine</w:t>
      </w:r>
      <w:r>
        <w:t xml:space="preserve"> + </w:t>
      </w:r>
      <w:r>
        <w:rPr>
          <w:rFonts w:ascii="Consolas" w:hAnsi="Consolas"/>
          <w:color w:val="C03030"/>
          <w:sz w:val="20"/>
        </w:rPr>
        <w:t>powergui</w:t>
      </w:r>
      <w:r>
        <w:t xml:space="preserve"> (Continuous).</w:t>
      </w:r>
    </w:p>
    <w:p>
      <w:pPr>
        <w:pStyle w:val="ListNumber"/>
      </w:pPr>
      <w:r>
        <w:t>Привод вала: постоянная скорость = синхронной.</w:t>
      </w:r>
    </w:p>
    <w:p>
      <w:pPr>
        <w:pStyle w:val="ListNumber"/>
      </w:pPr>
      <w:r>
        <w:t xml:space="preserve">Возбуждение: регулируемый источник </w:t>
      </w:r>
      <w:r>
        <w:rPr>
          <w:rFonts w:ascii="Consolas" w:hAnsi="Consolas"/>
          <w:color w:val="C03030"/>
          <w:sz w:val="20"/>
        </w:rPr>
        <w:t>Vf</w:t>
      </w:r>
      <w:r>
        <w:t>.</w:t>
      </w:r>
    </w:p>
    <w:p>
      <w:pPr>
        <w:pStyle w:val="ListNumber"/>
      </w:pPr>
      <w:r>
        <w:t xml:space="preserve">Нагрузка: трёхфазный </w:t>
      </w:r>
      <w:r>
        <w:rPr>
          <w:rFonts w:ascii="Consolas" w:hAnsi="Consolas"/>
          <w:color w:val="C03030"/>
          <w:sz w:val="20"/>
        </w:rPr>
        <w:t>Series RLC Load</w:t>
      </w:r>
      <w:r>
        <w:t xml:space="preserve"> с настройкой </w:t>
      </w:r>
      <w:r>
        <w:rPr>
          <w:rFonts w:ascii="Consolas" w:hAnsi="Consolas"/>
          <w:color w:val="C03030"/>
          <w:sz w:val="20"/>
        </w:rPr>
        <w:t>cos φ</w:t>
      </w:r>
      <w:r>
        <w:t xml:space="preserve"> (активная / RL / RC).</w:t>
      </w:r>
    </w:p>
    <w:p>
      <w:pPr>
        <w:pStyle w:val="ListNumber"/>
      </w:pPr>
      <w:r>
        <w:t xml:space="preserve">Измерители </w:t>
      </w:r>
      <w:r>
        <w:rPr>
          <w:rFonts w:ascii="Consolas" w:hAnsi="Consolas"/>
          <w:color w:val="C03030"/>
          <w:sz w:val="20"/>
        </w:rPr>
        <w:t>V_RMS</w:t>
      </w:r>
      <w:r>
        <w:t xml:space="preserve">, </w:t>
      </w:r>
      <w:r>
        <w:rPr>
          <w:rFonts w:ascii="Consolas" w:hAnsi="Consolas"/>
          <w:color w:val="C03030"/>
          <w:sz w:val="20"/>
        </w:rPr>
        <w:t>I_RMS</w:t>
      </w:r>
      <w:r>
        <w:t xml:space="preserve">, блок измерения </w:t>
      </w:r>
      <w:r>
        <w:rPr>
          <w:rFonts w:ascii="Consolas" w:hAnsi="Consolas"/>
          <w:color w:val="C03030"/>
          <w:sz w:val="20"/>
        </w:rPr>
        <w:t>cos φ</w:t>
      </w:r>
      <w:r>
        <w:t xml:space="preserve"> (или Power measurement </w:t>
      </w:r>
      <w:r>
        <w:rPr>
          <w:rFonts w:ascii="Consolas" w:hAnsi="Consolas"/>
          <w:color w:val="C03030"/>
          <w:sz w:val="20"/>
        </w:rPr>
        <w:t>P, Q</w:t>
      </w:r>
      <w:r>
        <w:t>).</w:t>
      </w:r>
    </w:p>
    <w:p>
      <w:pPr>
        <w:pStyle w:val="Heading3"/>
      </w:pPr>
      <w:r>
        <w:t>A2. Внешняя характеристика</w:t>
      </w:r>
    </w:p>
    <w:p>
      <w:pPr>
        <w:pStyle w:val="ListNumber"/>
      </w:pPr>
      <w:r>
        <w:t xml:space="preserve">Установить </w:t>
      </w:r>
      <w:r>
        <w:rPr>
          <w:rFonts w:ascii="Consolas" w:hAnsi="Consolas"/>
          <w:color w:val="C03030"/>
          <w:sz w:val="20"/>
        </w:rPr>
        <w:t>I_в</w:t>
      </w:r>
      <w:r>
        <w:t xml:space="preserve"> так, чтобы при холостом ходе </w:t>
      </w:r>
      <w:r>
        <w:rPr>
          <w:rFonts w:ascii="Consolas" w:hAnsi="Consolas"/>
          <w:color w:val="C03030"/>
          <w:sz w:val="20"/>
        </w:rPr>
        <w:t>U = U_ном</w:t>
      </w:r>
      <w:r>
        <w:t>.</w:t>
      </w:r>
    </w:p>
    <w:p>
      <w:pPr>
        <w:pStyle w:val="ListNumber"/>
      </w:pPr>
      <w:r>
        <w:rPr>
          <w:b/>
        </w:rPr>
        <w:t>Не меняя `I_в`</w:t>
      </w:r>
      <w:r>
        <w:t xml:space="preserve">, ступенями увеличивать нагрузку (ток </w:t>
      </w:r>
      <w:r>
        <w:rPr>
          <w:rFonts w:ascii="Consolas" w:hAnsi="Consolas"/>
          <w:color w:val="C03030"/>
          <w:sz w:val="20"/>
        </w:rPr>
        <w:t>I</w:t>
      </w:r>
      <w:r>
        <w:t xml:space="preserve"> от 0 до </w:t>
      </w:r>
      <w:r>
        <w:rPr>
          <w:rFonts w:ascii="Consolas" w:hAnsi="Consolas"/>
          <w:color w:val="C03030"/>
          <w:sz w:val="20"/>
        </w:rPr>
        <w:t>I_ном</w:t>
      </w:r>
      <w:r>
        <w:t>).</w:t>
      </w:r>
    </w:p>
    <w:p>
      <w:pPr>
        <w:pStyle w:val="ListNumber"/>
      </w:pPr>
      <w:r>
        <w:t xml:space="preserve">Для каждого значения записать </w:t>
      </w:r>
      <w:r>
        <w:rPr>
          <w:rFonts w:ascii="Consolas" w:hAnsi="Consolas"/>
          <w:color w:val="C03030"/>
          <w:sz w:val="20"/>
        </w:rPr>
        <w:t>U</w:t>
      </w:r>
      <w:r>
        <w:t xml:space="preserve"> и </w:t>
      </w:r>
      <w:r>
        <w:rPr>
          <w:rFonts w:ascii="Consolas" w:hAnsi="Consolas"/>
          <w:color w:val="C03030"/>
          <w:sz w:val="20"/>
        </w:rPr>
        <w:t>I</w:t>
      </w:r>
      <w:r>
        <w:t xml:space="preserve">. Повторить для трёх </w:t>
      </w:r>
      <w:r>
        <w:rPr>
          <w:rFonts w:ascii="Consolas" w:hAnsi="Consolas"/>
          <w:color w:val="C03030"/>
          <w:sz w:val="20"/>
        </w:rPr>
        <w:t>cos φ</w:t>
      </w:r>
      <w:r>
        <w:t>.</w:t>
      </w:r>
    </w:p>
    <w:p>
      <w:pPr>
        <w:pStyle w:val="Heading3"/>
      </w:pPr>
      <w:r>
        <w:t>A3. Регулировочная характеристика</w:t>
      </w:r>
    </w:p>
    <w:p>
      <w:pPr>
        <w:pStyle w:val="ListNumber"/>
      </w:pPr>
      <w:r>
        <w:t xml:space="preserve">Для каждого значения тока нагрузки </w:t>
      </w:r>
      <w:r>
        <w:rPr>
          <w:rFonts w:ascii="Consolas" w:hAnsi="Consolas"/>
          <w:color w:val="C03030"/>
          <w:sz w:val="20"/>
        </w:rPr>
        <w:t>I</w:t>
      </w:r>
      <w:r>
        <w:t xml:space="preserve"> подбирать </w:t>
      </w:r>
      <w:r>
        <w:rPr>
          <w:rFonts w:ascii="Consolas" w:hAnsi="Consolas"/>
          <w:color w:val="C03030"/>
          <w:sz w:val="20"/>
        </w:rPr>
        <w:t>I_в</w:t>
      </w:r>
      <w:r>
        <w:t xml:space="preserve"> так, чтобы </w:t>
      </w:r>
      <w:r>
        <w:rPr>
          <w:b/>
        </w:rPr>
        <w:t>удержать</w:t>
      </w:r>
      <w:r>
        <w:t xml:space="preserve"> </w:t>
      </w:r>
      <w:r>
        <w:rPr>
          <w:rFonts w:ascii="Consolas" w:hAnsi="Consolas"/>
          <w:color w:val="C03030"/>
          <w:sz w:val="20"/>
        </w:rPr>
        <w:t>U = U_ном</w:t>
      </w:r>
      <w:r>
        <w:t>.</w:t>
      </w:r>
    </w:p>
    <w:p>
      <w:pPr>
        <w:pStyle w:val="ListNumber"/>
      </w:pPr>
      <w:r>
        <w:t xml:space="preserve">Записать </w:t>
      </w:r>
      <w:r>
        <w:rPr>
          <w:rFonts w:ascii="Consolas" w:hAnsi="Consolas"/>
          <w:color w:val="C03030"/>
          <w:sz w:val="20"/>
        </w:rPr>
        <w:t>I_в(I)</w:t>
      </w:r>
      <w:r>
        <w:t xml:space="preserve">. Повторить для трёх </w:t>
      </w:r>
      <w:r>
        <w:rPr>
          <w:rFonts w:ascii="Consolas" w:hAnsi="Consolas"/>
          <w:color w:val="C03030"/>
          <w:sz w:val="20"/>
        </w:rPr>
        <w:t>cos φ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Часть B. Таблицы</w:t>
      </w:r>
    </w:p>
    <w:p>
      <w:pPr>
        <w:pStyle w:val="Heading3"/>
      </w:pPr>
      <w:r>
        <w:t>B1. Внешние характеристики `U(I)` при `I_в = const`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</w:t>
      </w:r>
      <w:r>
        <w:t>, А | 0 | 0.25·ном | 0.5 | 0.75 | ном |</w:t>
      </w:r>
    </w:p>
    <w:p>
      <w:r>
        <w:t>|--------|---|----------|-----|------|-----|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U</w:t>
      </w:r>
      <w:r>
        <w:t>, В (cos φ = 1) | | |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U</w:t>
      </w:r>
      <w:r>
        <w:t>, В (0.8 инд.) | | |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U</w:t>
      </w:r>
      <w:r>
        <w:t>, В (0.8 емк.) | | | | | |</w:t>
      </w:r>
    </w:p>
    <w:p>
      <w:pPr>
        <w:pStyle w:val="Heading3"/>
      </w:pPr>
      <w:r>
        <w:t>B2. Регулировочные характеристики `I_в(I)` при `U = const`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</w:t>
      </w:r>
      <w:r>
        <w:t>, А | 0 | 0.25·ном | 0.5 | 0.75 | ном |</w:t>
      </w:r>
    </w:p>
    <w:p>
      <w:r>
        <w:t>|--------|---|----------|-----|------|-----|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I_в</w:t>
      </w:r>
      <w:r>
        <w:t>, А (cos φ = 1) | | |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I_в</w:t>
      </w:r>
      <w:r>
        <w:t>, А (0.8 инд.) | | | | | |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I_в</w:t>
      </w:r>
      <w:r>
        <w:t>, А (0.8 емк.) | | | | |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Таблица результатов (номинальное изменение напряжения)</w:t>
      </w:r>
    </w:p>
    <w:p>
      <w:r>
        <w:t xml:space="preserve">| </w:t>
      </w:r>
      <w:r>
        <w:rPr>
          <w:rFonts w:ascii="Consolas" w:hAnsi="Consolas"/>
          <w:color w:val="C03030"/>
          <w:sz w:val="20"/>
        </w:rPr>
        <w:t>cos φ</w:t>
      </w:r>
      <w:r>
        <w:t xml:space="preserve"> | </w:t>
      </w:r>
      <w:r>
        <w:rPr>
          <w:rFonts w:ascii="Consolas" w:hAnsi="Consolas"/>
          <w:color w:val="C03030"/>
          <w:sz w:val="20"/>
        </w:rPr>
        <w:t>E₀</w:t>
      </w:r>
      <w:r>
        <w:t xml:space="preserve"> расчёт, В | </w:t>
      </w:r>
      <w:r>
        <w:rPr>
          <w:rFonts w:ascii="Consolas" w:hAnsi="Consolas"/>
          <w:color w:val="C03030"/>
          <w:sz w:val="20"/>
        </w:rPr>
        <w:t>U</w:t>
      </w:r>
      <w:r>
        <w:t xml:space="preserve"> при </w:t>
      </w:r>
      <w:r>
        <w:rPr>
          <w:rFonts w:ascii="Consolas" w:hAnsi="Consolas"/>
          <w:color w:val="C03030"/>
          <w:sz w:val="20"/>
        </w:rPr>
        <w:t>I_ном</w:t>
      </w:r>
      <w:r>
        <w:t xml:space="preserve"> (модель), В | </w:t>
      </w:r>
      <w:r>
        <w:rPr>
          <w:rFonts w:ascii="Consolas" w:hAnsi="Consolas"/>
          <w:color w:val="C03030"/>
          <w:sz w:val="20"/>
        </w:rPr>
        <w:t>ΔU%</w:t>
      </w:r>
      <w:r>
        <w:t xml:space="preserve"> расчёт | </w:t>
      </w:r>
      <w:r>
        <w:rPr>
          <w:rFonts w:ascii="Consolas" w:hAnsi="Consolas"/>
          <w:color w:val="C03030"/>
          <w:sz w:val="20"/>
        </w:rPr>
        <w:t>ΔU%</w:t>
      </w:r>
      <w:r>
        <w:t xml:space="preserve"> модель | Δ, % |</w:t>
      </w:r>
    </w:p>
    <w:p>
      <w:r>
        <w:t>|---------|----------------|------------------------------|--------------|--------------|------|</w:t>
      </w:r>
    </w:p>
    <w:p>
      <w:r>
        <w:t>| 1.0 | | | | | |</w:t>
      </w:r>
    </w:p>
    <w:p>
      <w:r>
        <w:t>| 0.8 инд. | | | | | |</w:t>
      </w:r>
    </w:p>
    <w:p>
      <w:r>
        <w:t>| 0.8 емк. | | | | | |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Дополнительное задание</w:t>
      </w:r>
    </w:p>
    <w:p>
      <w:pPr>
        <w:pStyle w:val="ListNumber"/>
      </w:pPr>
      <w:r>
        <w:t>Построить все три внешние характеристики на одном графике и объяснить их взаимное расположение через продольную реакцию якоря.</w:t>
      </w:r>
    </w:p>
    <w:p>
      <w:pPr>
        <w:pStyle w:val="ListNumber"/>
      </w:pPr>
      <w:r>
        <w:t xml:space="preserve">Найти </w:t>
      </w:r>
      <w:r>
        <w:rPr>
          <w:rFonts w:ascii="Consolas" w:hAnsi="Consolas"/>
          <w:color w:val="C03030"/>
          <w:sz w:val="20"/>
        </w:rPr>
        <w:t>cos φ</w:t>
      </w:r>
      <w:r>
        <w:t xml:space="preserve">, при котором </w:t>
      </w:r>
      <w:r>
        <w:rPr>
          <w:rFonts w:ascii="Consolas" w:hAnsi="Consolas"/>
          <w:color w:val="C03030"/>
          <w:sz w:val="20"/>
        </w:rPr>
        <w:t>ΔU% ≈ 0</w:t>
      </w:r>
      <w:r>
        <w:t xml:space="preserve"> (компенсация падения намагничивающей реакцией).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Почему при индуктивной нагрузке напряжение падает сильнее, чем при активной?</w:t>
      </w:r>
    </w:p>
    <w:p>
      <w:pPr>
        <w:pStyle w:val="ListNumber"/>
      </w:pPr>
      <w:r>
        <w:t>Почему при ёмкостной нагрузке напряжение может расти?</w:t>
      </w:r>
    </w:p>
    <w:p>
      <w:pPr>
        <w:pStyle w:val="ListNumber"/>
      </w:pPr>
      <w:r>
        <w:t>Как связаны внешняя и регулировочная характеристики?</w:t>
      </w:r>
    </w:p>
    <w:p>
      <w:pPr>
        <w:pStyle w:val="ListNumber"/>
      </w:pPr>
      <w:r>
        <w:t>Зачем генератору автоматический регулятор возбуждения?</w:t>
      </w:r>
    </w:p>
    <w:p>
      <w:pPr>
        <w:pStyle w:val="Heading2"/>
      </w:pPr>
      <w:r>
        <w:t>Форма отчёта</w:t>
      </w:r>
    </w:p>
    <w:p>
      <w:r>
        <w:t xml:space="preserve">Цель → расчёт </w:t>
      </w:r>
      <w:r>
        <w:rPr>
          <w:rFonts w:ascii="Consolas" w:hAnsi="Consolas"/>
          <w:color w:val="C03030"/>
          <w:sz w:val="20"/>
        </w:rPr>
        <w:t>E₀</w:t>
      </w:r>
      <w:r>
        <w:t xml:space="preserve"> и </w:t>
      </w:r>
      <w:r>
        <w:rPr>
          <w:rFonts w:ascii="Consolas" w:hAnsi="Consolas"/>
          <w:color w:val="C03030"/>
          <w:sz w:val="20"/>
        </w:rPr>
        <w:t>ΔU%</w:t>
      </w:r>
      <w:r>
        <w:t xml:space="preserve"> → схема модели → таблицы внешних и регулировочных характеристик → графики → таблица сравнения → доп. задание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