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01. Введение в синхронные машины</w:t>
      </w:r>
    </w:p>
    <w:p>
      <w:r>
        <w:rPr>
          <w:b/>
        </w:rPr>
        <w:t>Модуль I. Устройство и физические основы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Что такое синхронная машина</w:t>
      </w:r>
    </w:p>
    <w:p>
      <w:r>
        <w:rPr>
          <w:b/>
        </w:rPr>
        <w:t>Синхронная машина</w:t>
      </w:r>
      <w:r>
        <w:t xml:space="preserve"> — это электрическая машина переменного тока, у которой частота вращения ротора </w:t>
      </w:r>
      <w:r>
        <w:rPr>
          <w:b/>
        </w:rPr>
        <w:t>жёстко связана</w:t>
      </w:r>
      <w:r>
        <w:t xml:space="preserve"> с частотой тока в обмотке статора и не зависит от нагрузки (в установившемся режиме). Отсюда название: ротор вращается </w:t>
      </w:r>
      <w:r>
        <w:rPr>
          <w:b/>
        </w:rPr>
        <w:t>синхронно</w:t>
      </w:r>
      <w:r>
        <w:t xml:space="preserve"> с магнитным полем статора.</w:t>
      </w:r>
    </w:p>
    <w:p>
      <w:r>
        <w:t xml:space="preserve">Главная конструктивная особенность: на роторе создаётся </w:t>
      </w:r>
      <w:r>
        <w:rPr>
          <w:b/>
        </w:rPr>
        <w:t>постоянное по отношению к ротору</w:t>
      </w:r>
      <w:r>
        <w:t xml:space="preserve"> магнитное поле — током обмотки возбуждения (питается постоянным током) либо постоянными магнитами. На статоре расположена трёхфазная обмотка якоря, как у асинхронной машины.</w:t>
      </w:r>
    </w:p>
    <w:p>
      <w:r>
        <w:t>В отличие от асинхронной машины, где ротор всегда отстаёт от поля (есть скольжение), у синхронной машины в установившемся режиме скольжение равно нулю.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Принцип действия и обратимость</w:t>
      </w:r>
    </w:p>
    <w:p>
      <w:r>
        <w:t xml:space="preserve">Трёхфазный ток статора создаёт </w:t>
      </w:r>
      <w:r>
        <w:rPr>
          <w:b/>
        </w:rPr>
        <w:t>вращающееся магнитное поле</w:t>
      </w:r>
      <w:r>
        <w:t>. Магнитное поле ротора «сцепляется» с полем статора, и они вращаются как единое целое — словно два магнита, связанные упругой магнитной «пружиной».</w:t>
      </w:r>
    </w:p>
    <w:p>
      <w:r>
        <w:t>Машина обратима:</w:t>
      </w:r>
    </w:p>
    <w:p>
      <w:pPr>
        <w:pStyle w:val="ListBullet"/>
      </w:pPr>
      <w:r>
        <w:rPr>
          <w:b/>
        </w:rPr>
        <w:t>Генератор:</w:t>
      </w:r>
      <w:r>
        <w:t xml:space="preserve"> внешний двигатель (турбина) вращает ротор, поле ротора наводит ЭДС в обмотке статора → машина отдаёт электроэнергию.</w:t>
      </w:r>
    </w:p>
    <w:p>
      <w:pPr>
        <w:pStyle w:val="ListBullet"/>
      </w:pPr>
      <w:r>
        <w:rPr>
          <w:b/>
        </w:rPr>
        <w:t>Двигатель:</w:t>
      </w:r>
      <w:r>
        <w:t xml:space="preserve"> к статору подводится трёхфазное напряжение, поле статора «увлекает» ротор → машина отдаёт механическую энергию на вал.</w:t>
      </w:r>
    </w:p>
    <w:p>
      <w:r>
        <w:t xml:space="preserve">Передача мощности связана с </w:t>
      </w:r>
      <w:r>
        <w:rPr>
          <w:b/>
        </w:rPr>
        <w:t>углом нагрузки</w:t>
      </w:r>
      <w:r>
        <w:t xml:space="preserve"> </w:t>
      </w:r>
      <w:r>
        <w:rPr>
          <w:rFonts w:ascii="Consolas" w:hAnsi="Consolas"/>
          <w:color w:val="C03030"/>
          <w:sz w:val="20"/>
        </w:rPr>
        <w:t>θ</w:t>
      </w:r>
      <w:r>
        <w:t xml:space="preserve"> — пространственным сдвигом между осями полей ротора и статора. В режиме холостого хода </w:t>
      </w:r>
      <w:r>
        <w:rPr>
          <w:rFonts w:ascii="Consolas" w:hAnsi="Consolas"/>
          <w:color w:val="C03030"/>
          <w:sz w:val="20"/>
        </w:rPr>
        <w:t>θ = 0</w:t>
      </w:r>
      <w:r>
        <w:t xml:space="preserve">; под нагрузкой поля смещаются на угол </w:t>
      </w:r>
      <w:r>
        <w:rPr>
          <w:rFonts w:ascii="Consolas" w:hAnsi="Consolas"/>
          <w:color w:val="C03030"/>
          <w:sz w:val="20"/>
        </w:rPr>
        <w:t>θ</w:t>
      </w:r>
      <w:r>
        <w:t>, и чем он больше, тем больше передаваемый момент (до определённого предела).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Синхронная частота вращения</w:t>
      </w:r>
    </w:p>
    <w:p>
      <w:r>
        <w:t xml:space="preserve">Поле трёхфазной обмотки вращается с частотой, определяемой частотой сети </w:t>
      </w:r>
      <w:r>
        <w:rPr>
          <w:rFonts w:ascii="Consolas" w:hAnsi="Consolas"/>
          <w:color w:val="C03030"/>
          <w:sz w:val="20"/>
        </w:rPr>
        <w:t>f</w:t>
      </w:r>
      <w:r>
        <w:t xml:space="preserve"> и числом пар полюсов </w:t>
      </w:r>
      <w:r>
        <w:rPr>
          <w:rFonts w:ascii="Consolas" w:hAnsi="Consolas"/>
          <w:color w:val="C03030"/>
          <w:sz w:val="20"/>
        </w:rPr>
        <w:t>p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n = 60 · f / p     [об/мин]</w:t>
      </w:r>
    </w:p>
    <w:p>
      <w:r>
        <w:t xml:space="preserve">или в угловой форме </w:t>
      </w:r>
      <w:r>
        <w:rPr>
          <w:rFonts w:ascii="Consolas" w:hAnsi="Consolas"/>
          <w:color w:val="C03030"/>
          <w:sz w:val="20"/>
        </w:rPr>
        <w:t>Ω = 2πf / p</w:t>
      </w:r>
      <w:r>
        <w:t xml:space="preserve"> [рад/с].</w:t>
      </w:r>
    </w:p>
    <w:p>
      <w:r>
        <w:rPr>
          <w:b/>
        </w:rPr>
        <w:t>Пример.</w:t>
      </w:r>
      <w:r>
        <w:t xml:space="preserve"> При </w:t>
      </w:r>
      <w:r>
        <w:rPr>
          <w:rFonts w:ascii="Consolas" w:hAnsi="Consolas"/>
          <w:color w:val="C03030"/>
          <w:sz w:val="20"/>
        </w:rPr>
        <w:t>f = 50 Гц</w:t>
      </w:r>
      <w:r>
        <w:t>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 = 1</w:t>
      </w:r>
      <w:r>
        <w:t xml:space="preserve"> → </w:t>
      </w:r>
      <w:r>
        <w:rPr>
          <w:rFonts w:ascii="Consolas" w:hAnsi="Consolas"/>
          <w:color w:val="C03030"/>
          <w:sz w:val="20"/>
        </w:rPr>
        <w:t>n = 3000 об/мин</w:t>
      </w:r>
      <w:r>
        <w:t xml:space="preserve"> (быстроходные турбогенераторы);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 = 2</w:t>
      </w:r>
      <w:r>
        <w:t xml:space="preserve"> → </w:t>
      </w:r>
      <w:r>
        <w:rPr>
          <w:rFonts w:ascii="Consolas" w:hAnsi="Consolas"/>
          <w:color w:val="C03030"/>
          <w:sz w:val="20"/>
        </w:rPr>
        <w:t>n = 1500 об/мин</w:t>
      </w:r>
      <w:r>
        <w:t>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p = 24</w:t>
      </w:r>
      <w:r>
        <w:t xml:space="preserve"> → </w:t>
      </w:r>
      <w:r>
        <w:rPr>
          <w:rFonts w:ascii="Consolas" w:hAnsi="Consolas"/>
          <w:color w:val="C03030"/>
          <w:sz w:val="20"/>
        </w:rPr>
        <w:t>n = 125 об/мин</w:t>
      </w:r>
      <w:r>
        <w:t xml:space="preserve"> (тихоходные гидрогенераторы).</w:t>
      </w:r>
    </w:p>
    <w:p>
      <w:r>
        <w:t xml:space="preserve">Частота вращения ротора синхронной машины </w:t>
      </w:r>
      <w:r>
        <w:rPr>
          <w:b/>
        </w:rPr>
        <w:t>всегда</w:t>
      </w:r>
      <w:r>
        <w:t xml:space="preserve"> равна синхронной — это её определяющее свойство.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Классификация синхронных машин</w:t>
      </w:r>
    </w:p>
    <w:p>
      <w:r>
        <w:rPr>
          <w:b/>
        </w:rPr>
        <w:t>По исполнению ротора:</w:t>
      </w:r>
    </w:p>
    <w:p>
      <w:pPr>
        <w:pStyle w:val="ListBullet"/>
      </w:pPr>
      <w:r>
        <w:rPr>
          <w:b/>
        </w:rPr>
        <w:t>Неявнополюсные</w:t>
      </w:r>
      <w:r>
        <w:t xml:space="preserve"> (с неявно выраженными полюсами): цилиндрический ротор, равномерный воздушный зазор. Применяют для быстроходных машин (турбогенераторы, 1500–3000 об/мин), где по условиям механической прочности нельзя делать выступающие полюса.</w:t>
      </w:r>
    </w:p>
    <w:p>
      <w:pPr>
        <w:pStyle w:val="ListBullet"/>
      </w:pPr>
      <w:r>
        <w:rPr>
          <w:b/>
        </w:rPr>
        <w:t>Явнополюсные</w:t>
      </w:r>
      <w:r>
        <w:t xml:space="preserve"> (с явно выраженными полюсами): полюса выступают, зазор неравномерный. Применяют для тихоходных машин (гидрогенераторы, дизель-генераторы, большинство двигателей).</w:t>
      </w:r>
    </w:p>
    <w:p>
      <w:r>
        <w:rPr>
          <w:b/>
        </w:rPr>
        <w:t>По роду возбуждения:</w:t>
      </w:r>
    </w:p>
    <w:p>
      <w:pPr>
        <w:pStyle w:val="ListBullet"/>
      </w:pPr>
      <w:r>
        <w:t>электромагнитное возбуждение (обмотка возбуждения + источник постоянного тока);</w:t>
      </w:r>
    </w:p>
    <w:p>
      <w:pPr>
        <w:pStyle w:val="ListBullet"/>
      </w:pPr>
      <w:r>
        <w:t>возбуждение от постоянных магнитов (PMSM — без обмотки возбуждения).</w:t>
      </w:r>
    </w:p>
    <w:p>
      <w:r>
        <w:rPr>
          <w:b/>
        </w:rPr>
        <w:t>По назначению:</w:t>
      </w:r>
    </w:p>
    <w:p>
      <w:pPr>
        <w:pStyle w:val="ListBullet"/>
      </w:pPr>
      <w:r>
        <w:t>синхронные генераторы (основной источник электроэнергии на станциях);</w:t>
      </w:r>
    </w:p>
    <w:p>
      <w:pPr>
        <w:pStyle w:val="ListBullet"/>
      </w:pPr>
      <w:r>
        <w:t>синхронные двигатели (мощные приводы насосов, компрессоров, мельниц);</w:t>
      </w:r>
    </w:p>
    <w:p>
      <w:pPr>
        <w:pStyle w:val="ListBullet"/>
      </w:pPr>
      <w:r>
        <w:t>синхронные компенсаторы (генерация/потребление реактивной мощности);</w:t>
      </w:r>
    </w:p>
    <w:p>
      <w:pPr>
        <w:pStyle w:val="ListBullet"/>
      </w:pPr>
      <w:r>
        <w:t>специальные машины (PMSM, BLDC, реактивные, шаговые).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Области применения</w:t>
      </w:r>
    </w:p>
    <w:p>
      <w:pPr>
        <w:pStyle w:val="ListBullet"/>
      </w:pPr>
      <w:r>
        <w:rPr>
          <w:b/>
        </w:rPr>
        <w:t>Генерация электроэнергии:</w:t>
      </w:r>
      <w:r>
        <w:t xml:space="preserve"> практически вся электроэнергия в мире вырабатывается синхронными генераторами (ТЭС, ГЭС, АЭС, дизель-генераторы).</w:t>
      </w:r>
    </w:p>
    <w:p>
      <w:pPr>
        <w:pStyle w:val="ListBullet"/>
      </w:pPr>
      <w:r>
        <w:rPr>
          <w:b/>
        </w:rPr>
        <w:t>Мощный электропривод:</w:t>
      </w:r>
      <w:r>
        <w:t xml:space="preserve"> синхронные двигатели для приводов большой мощности с постоянной скоростью и высоким </w:t>
      </w:r>
      <w:r>
        <w:rPr>
          <w:rFonts w:ascii="Consolas" w:hAnsi="Consolas"/>
          <w:color w:val="C03030"/>
          <w:sz w:val="20"/>
        </w:rPr>
        <w:t>cos φ</w:t>
      </w:r>
      <w:r>
        <w:t>.</w:t>
      </w:r>
    </w:p>
    <w:p>
      <w:pPr>
        <w:pStyle w:val="ListBullet"/>
      </w:pPr>
      <w:r>
        <w:rPr>
          <w:b/>
        </w:rPr>
        <w:t>Компенсация реактивной мощности:</w:t>
      </w:r>
      <w:r>
        <w:t xml:space="preserve"> синхронные компенсаторы в энергосистемах.</w:t>
      </w:r>
    </w:p>
    <w:p>
      <w:pPr>
        <w:pStyle w:val="ListBullet"/>
      </w:pPr>
      <w:r>
        <w:rPr>
          <w:b/>
        </w:rPr>
        <w:t>Регулируемый привод:</w:t>
      </w:r>
      <w:r>
        <w:t xml:space="preserve"> PMSM в станках, робототехнике, электромобилях, серводвигателях.</w:t>
      </w:r>
    </w:p>
    <w:p>
      <w:pPr>
        <w:pStyle w:val="ListBullet"/>
      </w:pPr>
      <w:r>
        <w:rPr>
          <w:b/>
        </w:rPr>
        <w:t>Возобновляемая энергетика:</w:t>
      </w:r>
      <w:r>
        <w:t xml:space="preserve"> генераторы прямого привода для ветроустановок.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Достоинства и недостатки</w:t>
      </w:r>
    </w:p>
    <w:p>
      <w:r>
        <w:rPr>
          <w:b/>
        </w:rPr>
        <w:t>Достоинства:</w:t>
      </w:r>
      <w:r>
        <w:t xml:space="preserve"> постоянная частота вращения; возможность регулировать </w:t>
      </w:r>
      <w:r>
        <w:rPr>
          <w:rFonts w:ascii="Consolas" w:hAnsi="Consolas"/>
          <w:color w:val="C03030"/>
          <w:sz w:val="20"/>
        </w:rPr>
        <w:t>cos φ</w:t>
      </w:r>
      <w:r>
        <w:t xml:space="preserve"> (в т. ч. работать с опережающим коэффициентом мощности); высокий КПД у крупных машин; стабильность работы в энергосистеме.</w:t>
      </w:r>
    </w:p>
    <w:p>
      <w:r>
        <w:rPr>
          <w:b/>
        </w:rPr>
        <w:t>Недостатки:</w:t>
      </w:r>
      <w:r>
        <w:t xml:space="preserve"> сложность системы возбуждения; синхронный двигатель не запускается прямым включением (нужны спецмеры пуска); чувствительность к нарушению устойчивости при больших углах нагрузки.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Выводы</w:t>
      </w:r>
    </w:p>
    <w:p>
      <w:pPr>
        <w:pStyle w:val="ListNumber"/>
      </w:pPr>
      <w:r>
        <w:t>Синхронная машина — машина переменного тока с жёсткой связью скорости ротора и частоты поля статора.</w:t>
      </w:r>
    </w:p>
    <w:p>
      <w:pPr>
        <w:pStyle w:val="ListNumber"/>
      </w:pPr>
      <w:r>
        <w:t>Ротор несёт постоянное поле (возбуждение или магниты), статор — трёхфазную обмотку якоря.</w:t>
      </w:r>
    </w:p>
    <w:p>
      <w:pPr>
        <w:pStyle w:val="ListNumber"/>
      </w:pPr>
      <w:r>
        <w:t xml:space="preserve">Синхронная частота вращения: </w:t>
      </w:r>
      <w:r>
        <w:rPr>
          <w:rFonts w:ascii="Consolas" w:hAnsi="Consolas"/>
          <w:color w:val="C03030"/>
          <w:sz w:val="20"/>
        </w:rPr>
        <w:t>n = 60 f / p</w:t>
      </w:r>
      <w:r>
        <w:t>.</w:t>
      </w:r>
    </w:p>
    <w:p>
      <w:pPr>
        <w:pStyle w:val="ListNumber"/>
      </w:pPr>
      <w:r>
        <w:t xml:space="preserve">Машина обратима: генератор ↔ двигатель; передача мощности связана с углом нагрузки </w:t>
      </w:r>
      <w:r>
        <w:rPr>
          <w:rFonts w:ascii="Consolas" w:hAnsi="Consolas"/>
          <w:color w:val="C03030"/>
          <w:sz w:val="20"/>
        </w:rPr>
        <w:t>θ</w:t>
      </w:r>
      <w:r>
        <w:t>.</w:t>
      </w:r>
    </w:p>
    <w:p>
      <w:pPr>
        <w:pStyle w:val="ListNumber"/>
      </w:pPr>
      <w:r>
        <w:t>По ротору различают неявнополюсные (быстроходные) и явнополюсные (тихоходные) машины.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частота вращения синхронной машины не зависит от нагрузки?</w:t>
      </w:r>
    </w:p>
    <w:p>
      <w:pPr>
        <w:pStyle w:val="ListNumber"/>
      </w:pPr>
      <w:r>
        <w:t>Чем отличается синхронная машина от асинхронной по характеру движения ротора?</w:t>
      </w:r>
    </w:p>
    <w:p>
      <w:pPr>
        <w:pStyle w:val="ListNumber"/>
      </w:pPr>
      <w:r>
        <w:t xml:space="preserve">Выведите формулу синхронной частоты вращения и посчитайте </w:t>
      </w:r>
      <w:r>
        <w:rPr>
          <w:rFonts w:ascii="Consolas" w:hAnsi="Consolas"/>
          <w:color w:val="C03030"/>
          <w:sz w:val="20"/>
        </w:rPr>
        <w:t>n</w:t>
      </w:r>
      <w:r>
        <w:t xml:space="preserve"> для </w:t>
      </w:r>
      <w:r>
        <w:rPr>
          <w:rFonts w:ascii="Consolas" w:hAnsi="Consolas"/>
          <w:color w:val="C03030"/>
          <w:sz w:val="20"/>
        </w:rPr>
        <w:t>p = 3</w:t>
      </w:r>
      <w:r>
        <w:t xml:space="preserve">, </w:t>
      </w:r>
      <w:r>
        <w:rPr>
          <w:rFonts w:ascii="Consolas" w:hAnsi="Consolas"/>
          <w:color w:val="C03030"/>
          <w:sz w:val="20"/>
        </w:rPr>
        <w:t>f = 50 Гц</w:t>
      </w:r>
      <w:r>
        <w:t>.</w:t>
      </w:r>
    </w:p>
    <w:p>
      <w:pPr>
        <w:pStyle w:val="ListNumber"/>
      </w:pPr>
      <w:r>
        <w:t>Где применяют явнополюсные, а где неявнополюсные машины и почему?</w:t>
      </w:r>
    </w:p>
    <w:p>
      <w:pPr>
        <w:pStyle w:val="Heading2"/>
      </w:pPr>
      <w:r>
        <w:t>Связанная лабораторная</w:t>
      </w:r>
    </w:p>
    <w:p>
      <w:r>
        <w:t xml:space="preserve">Отдельной лабораторной к этой лекции нет; материал закрепляется в </w:t>
      </w:r>
      <w:r>
        <w:rPr>
          <w:rFonts w:ascii="Consolas" w:hAnsi="Consolas"/>
          <w:color w:val="C03030"/>
          <w:sz w:val="20"/>
        </w:rPr>
        <w:t>Лаб01</w:t>
      </w:r>
      <w:r>
        <w:t xml:space="preserve"> (после Лекции 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