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05. Векторная диаграмма. Характеристики ХХ и КЗ</w:t>
      </w:r>
    </w:p>
    <w:p>
      <w:r>
        <w:rPr>
          <w:b/>
        </w:rPr>
        <w:t>Модуль II. Синхронный генератор: установившиеся режимы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Векторная диаграмма неявнополюсного генератора</w:t>
      </w:r>
    </w:p>
    <w:p>
      <w:r>
        <w:t xml:space="preserve">Опираемся на уравнение </w:t>
      </w:r>
      <w:r>
        <w:rPr>
          <w:rFonts w:ascii="Consolas" w:hAnsi="Consolas"/>
          <w:color w:val="C03030"/>
          <w:sz w:val="20"/>
        </w:rPr>
        <w:t>E₀ = U + j·I·X_d</w:t>
      </w:r>
      <w:r>
        <w:t xml:space="preserve"> (при </w:t>
      </w:r>
      <w:r>
        <w:rPr>
          <w:rFonts w:ascii="Consolas" w:hAnsi="Consolas"/>
          <w:color w:val="C03030"/>
          <w:sz w:val="20"/>
        </w:rPr>
        <w:t>R_a ≈ 0</w:t>
      </w:r>
      <w:r>
        <w:t>). Построение для индуктивной нагрузки:</w:t>
      </w:r>
    </w:p>
    <w:p>
      <w:pPr>
        <w:pStyle w:val="ListNumber"/>
      </w:pPr>
      <w:r>
        <w:t xml:space="preserve">Откладываем вектор напряжения </w:t>
      </w:r>
      <w:r>
        <w:rPr>
          <w:rFonts w:ascii="Consolas" w:hAnsi="Consolas"/>
          <w:color w:val="C03030"/>
          <w:sz w:val="20"/>
        </w:rPr>
        <w:t>U</w:t>
      </w:r>
      <w:r>
        <w:t xml:space="preserve"> (по горизонтали).</w:t>
      </w:r>
    </w:p>
    <w:p>
      <w:pPr>
        <w:pStyle w:val="ListNumber"/>
      </w:pPr>
      <w:r>
        <w:t xml:space="preserve">Под углом </w:t>
      </w:r>
      <w:r>
        <w:rPr>
          <w:rFonts w:ascii="Consolas" w:hAnsi="Consolas"/>
          <w:color w:val="C03030"/>
          <w:sz w:val="20"/>
        </w:rPr>
        <w:t>φ</w:t>
      </w:r>
      <w:r>
        <w:t xml:space="preserve"> к </w:t>
      </w:r>
      <w:r>
        <w:rPr>
          <w:rFonts w:ascii="Consolas" w:hAnsi="Consolas"/>
          <w:color w:val="C03030"/>
          <w:sz w:val="20"/>
        </w:rPr>
        <w:t>U</w:t>
      </w:r>
      <w:r>
        <w:t xml:space="preserve"> откладываем ток </w:t>
      </w:r>
      <w:r>
        <w:rPr>
          <w:rFonts w:ascii="Consolas" w:hAnsi="Consolas"/>
          <w:color w:val="C03030"/>
          <w:sz w:val="20"/>
        </w:rPr>
        <w:t>I</w:t>
      </w:r>
      <w:r>
        <w:t xml:space="preserve"> (отстаёт при индуктивной нагрузке).</w:t>
      </w:r>
    </w:p>
    <w:p>
      <w:pPr>
        <w:pStyle w:val="ListNumber"/>
      </w:pPr>
      <w:r>
        <w:t xml:space="preserve">Прибавляем к </w:t>
      </w:r>
      <w:r>
        <w:rPr>
          <w:rFonts w:ascii="Consolas" w:hAnsi="Consolas"/>
          <w:color w:val="C03030"/>
          <w:sz w:val="20"/>
        </w:rPr>
        <w:t>U</w:t>
      </w:r>
      <w:r>
        <w:t xml:space="preserve"> вектор </w:t>
      </w:r>
      <w:r>
        <w:rPr>
          <w:rFonts w:ascii="Consolas" w:hAnsi="Consolas"/>
          <w:color w:val="C03030"/>
          <w:sz w:val="20"/>
        </w:rPr>
        <w:t>j·I·X_d</w:t>
      </w:r>
      <w:r>
        <w:t>, опережающий ток на 90°.</w:t>
      </w:r>
    </w:p>
    <w:p>
      <w:pPr>
        <w:pStyle w:val="ListNumber"/>
      </w:pPr>
      <w:r>
        <w:t xml:space="preserve">Сумма даёт ЭДС </w:t>
      </w:r>
      <w:r>
        <w:rPr>
          <w:rFonts w:ascii="Consolas" w:hAnsi="Consolas"/>
          <w:color w:val="C03030"/>
          <w:sz w:val="20"/>
        </w:rPr>
        <w:t>E₀</w:t>
      </w:r>
      <w:r>
        <w:t xml:space="preserve">; угол между </w:t>
      </w:r>
      <w:r>
        <w:rPr>
          <w:rFonts w:ascii="Consolas" w:hAnsi="Consolas"/>
          <w:color w:val="C03030"/>
          <w:sz w:val="20"/>
        </w:rPr>
        <w:t>E₀</w:t>
      </w:r>
      <w:r>
        <w:t xml:space="preserve"> и </w:t>
      </w:r>
      <w:r>
        <w:rPr>
          <w:rFonts w:ascii="Consolas" w:hAnsi="Consolas"/>
          <w:color w:val="C03030"/>
          <w:sz w:val="20"/>
        </w:rPr>
        <w:t>U</w:t>
      </w:r>
      <w:r>
        <w:t xml:space="preserve"> — это </w:t>
      </w:r>
      <w:r>
        <w:rPr>
          <w:b/>
        </w:rPr>
        <w:t>угол нагрузки `θ`</w:t>
      </w:r>
      <w:r>
        <w:t>.</w:t>
      </w:r>
    </w:p>
    <w:p>
      <w:r>
        <w:rPr>
          <w:b/>
        </w:rPr>
        <w:t>Смысл угла `θ`:</w:t>
      </w:r>
      <w:r>
        <w:t xml:space="preserve"> он определяет передаваемую мощность (Лекция 9). При холостом ходе </w:t>
      </w:r>
      <w:r>
        <w:rPr>
          <w:rFonts w:ascii="Consolas" w:hAnsi="Consolas"/>
          <w:color w:val="C03030"/>
          <w:sz w:val="20"/>
        </w:rPr>
        <w:t>θ = 0</w:t>
      </w:r>
      <w:r>
        <w:t xml:space="preserve">; под нагрузкой </w:t>
      </w:r>
      <w:r>
        <w:rPr>
          <w:rFonts w:ascii="Consolas" w:hAnsi="Consolas"/>
          <w:color w:val="C03030"/>
          <w:sz w:val="20"/>
        </w:rPr>
        <w:t>E₀</w:t>
      </w:r>
      <w:r>
        <w:t xml:space="preserve"> опережает </w:t>
      </w:r>
      <w:r>
        <w:rPr>
          <w:rFonts w:ascii="Consolas" w:hAnsi="Consolas"/>
          <w:color w:val="C03030"/>
          <w:sz w:val="20"/>
        </w:rPr>
        <w:t>U</w:t>
      </w:r>
      <w:r>
        <w:t>.</w:t>
      </w:r>
    </w:p>
    <w:p>
      <w:r>
        <w:t xml:space="preserve">Если учесть </w:t>
      </w:r>
      <w:r>
        <w:rPr>
          <w:rFonts w:ascii="Consolas" w:hAnsi="Consolas"/>
          <w:color w:val="C03030"/>
          <w:sz w:val="20"/>
        </w:rPr>
        <w:t>R_a</w:t>
      </w:r>
      <w:r>
        <w:t xml:space="preserve">, добавляется ещё вектор </w:t>
      </w:r>
      <w:r>
        <w:rPr>
          <w:rFonts w:ascii="Consolas" w:hAnsi="Consolas"/>
          <w:color w:val="C03030"/>
          <w:sz w:val="20"/>
        </w:rPr>
        <w:t>I·R_a</w:t>
      </w:r>
      <w:r>
        <w:t>, совпадающий по направлению с током.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Характеристика холостого хода (ХХХ)</w:t>
      </w:r>
    </w:p>
    <w:p>
      <w:r>
        <w:rPr>
          <w:b/>
        </w:rPr>
        <w:t>ХХХ</w:t>
      </w:r>
      <w:r>
        <w:t xml:space="preserve"> — зависимость ЭДС от тока возбуждения при холостом ходе (</w:t>
      </w:r>
      <w:r>
        <w:rPr>
          <w:rFonts w:ascii="Consolas" w:hAnsi="Consolas"/>
          <w:color w:val="C03030"/>
          <w:sz w:val="20"/>
        </w:rPr>
        <w:t>I = 0</w:t>
      </w:r>
      <w:r>
        <w:t>) и номинальной частоте вращения: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E₀ = f(I_в)   при   I = 0,  n = const</w:t>
      </w:r>
    </w:p>
    <w:p>
      <w:r>
        <w:t>Свойства:</w:t>
      </w:r>
    </w:p>
    <w:p>
      <w:pPr>
        <w:pStyle w:val="ListBullet"/>
      </w:pPr>
      <w:r>
        <w:t xml:space="preserve">начальный участок линеен: </w:t>
      </w:r>
      <w:r>
        <w:rPr>
          <w:rFonts w:ascii="Consolas" w:hAnsi="Consolas"/>
          <w:color w:val="C03030"/>
          <w:sz w:val="20"/>
        </w:rPr>
        <w:t>E₀ ∝ I_в</w:t>
      </w:r>
      <w:r>
        <w:t xml:space="preserve"> (магнитопровод не насыщен);</w:t>
      </w:r>
    </w:p>
    <w:p>
      <w:pPr>
        <w:pStyle w:val="ListBullet"/>
      </w:pPr>
      <w:r>
        <w:t xml:space="preserve">далее кривая загибается из-за </w:t>
      </w:r>
      <w:r>
        <w:rPr>
          <w:b/>
        </w:rPr>
        <w:t>насыщения</w:t>
      </w:r>
      <w:r>
        <w:t xml:space="preserve"> стали;</w:t>
      </w:r>
    </w:p>
    <w:p>
      <w:pPr>
        <w:pStyle w:val="ListBullet"/>
      </w:pPr>
      <w:r>
        <w:t>по сути это магнитная характеристика машины (повторяет кривую намагничивания).</w:t>
      </w:r>
    </w:p>
    <w:p>
      <w:r>
        <w:t>ХХХ — общая для генераторного и двигательного режимов; снимается экспериментально (</w:t>
      </w:r>
      <w:r>
        <w:rPr>
          <w:rFonts w:ascii="Consolas" w:hAnsi="Consolas"/>
          <w:color w:val="C03030"/>
          <w:sz w:val="20"/>
        </w:rPr>
        <w:t>Лаб01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Характеристика короткого замыкания (ХКЗ)</w:t>
      </w:r>
    </w:p>
    <w:p>
      <w:r>
        <w:rPr>
          <w:b/>
        </w:rPr>
        <w:t>ХКЗ</w:t>
      </w:r>
      <w:r>
        <w:t xml:space="preserve"> — зависимость тока якоря от тока возбуждения при замкнутых накоротко зажимах статора: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I_к = f(I_в)   при   U = 0,  n = const</w:t>
      </w:r>
    </w:p>
    <w:p>
      <w:r>
        <w:t>Свойства:</w:t>
      </w:r>
    </w:p>
    <w:p>
      <w:pPr>
        <w:pStyle w:val="ListBullet"/>
      </w:pPr>
      <w:r>
        <w:t xml:space="preserve">характеристика </w:t>
      </w:r>
      <w:r>
        <w:rPr>
          <w:b/>
        </w:rPr>
        <w:t>линейна</w:t>
      </w:r>
      <w:r>
        <w:t>;</w:t>
      </w:r>
    </w:p>
    <w:p>
      <w:pPr>
        <w:pStyle w:val="ListBullet"/>
      </w:pPr>
      <w:r>
        <w:t xml:space="preserve">причина линейности: при КЗ </w:t>
      </w:r>
      <w:r>
        <w:rPr>
          <w:rFonts w:ascii="Consolas" w:hAnsi="Consolas"/>
          <w:color w:val="C03030"/>
          <w:sz w:val="20"/>
        </w:rPr>
        <w:t>U = 0</w:t>
      </w:r>
      <w:r>
        <w:t xml:space="preserve">, и почти вся ЭДС уравновешивается падением на </w:t>
      </w:r>
      <w:r>
        <w:rPr>
          <w:rFonts w:ascii="Consolas" w:hAnsi="Consolas"/>
          <w:color w:val="C03030"/>
          <w:sz w:val="20"/>
        </w:rPr>
        <w:t>X_d</w:t>
      </w:r>
      <w:r>
        <w:t xml:space="preserve">: </w:t>
      </w:r>
      <w:r>
        <w:rPr>
          <w:rFonts w:ascii="Consolas" w:hAnsi="Consolas"/>
          <w:color w:val="C03030"/>
          <w:sz w:val="20"/>
        </w:rPr>
        <w:t>E₀ ≈ I_к·X_d</w:t>
      </w:r>
      <w:r>
        <w:t xml:space="preserve">. Ток якоря большой и сильно </w:t>
      </w:r>
      <w:r>
        <w:rPr>
          <w:b/>
        </w:rPr>
        <w:t>размагничивает</w:t>
      </w:r>
      <w:r>
        <w:t xml:space="preserve"> машину, поэтому магнитопровод </w:t>
      </w:r>
      <w:r>
        <w:rPr>
          <w:b/>
        </w:rPr>
        <w:t>не насыщается</w:t>
      </w:r>
      <w:r>
        <w:t xml:space="preserve"> — машина работает на линейном (ненасыщенном) участке.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Определение синхронного сопротивления X_d</w:t>
      </w:r>
    </w:p>
    <w:p>
      <w:r>
        <w:t xml:space="preserve">Совмещая ХХХ и ХКЗ, находят </w:t>
      </w:r>
      <w:r>
        <w:rPr>
          <w:rFonts w:ascii="Consolas" w:hAnsi="Consolas"/>
          <w:color w:val="C03030"/>
          <w:sz w:val="20"/>
        </w:rPr>
        <w:t>X_d</w:t>
      </w:r>
      <w:r>
        <w:t xml:space="preserve">. При одном и том же токе возбуждения </w:t>
      </w:r>
      <w:r>
        <w:rPr>
          <w:rFonts w:ascii="Consolas" w:hAnsi="Consolas"/>
          <w:color w:val="C03030"/>
          <w:sz w:val="20"/>
        </w:rPr>
        <w:t>I_в</w:t>
      </w:r>
      <w:r>
        <w:t>:</w:t>
      </w:r>
    </w:p>
    <w:p>
      <w:pPr>
        <w:pStyle w:val="ListBullet"/>
      </w:pPr>
      <w:r>
        <w:t xml:space="preserve">по ХХХ берут ЭДС </w:t>
      </w:r>
      <w:r>
        <w:rPr>
          <w:rFonts w:ascii="Consolas" w:hAnsi="Consolas"/>
          <w:color w:val="C03030"/>
          <w:sz w:val="20"/>
        </w:rPr>
        <w:t>E₀</w:t>
      </w:r>
      <w:r>
        <w:t>;</w:t>
      </w:r>
    </w:p>
    <w:p>
      <w:pPr>
        <w:pStyle w:val="ListBullet"/>
      </w:pPr>
      <w:r>
        <w:t xml:space="preserve">по ХКЗ берут ток КЗ </w:t>
      </w:r>
      <w:r>
        <w:rPr>
          <w:rFonts w:ascii="Consolas" w:hAnsi="Consolas"/>
          <w:color w:val="C03030"/>
          <w:sz w:val="20"/>
        </w:rPr>
        <w:t>I_к</w:t>
      </w:r>
      <w:r>
        <w:t>.</w:t>
      </w:r>
    </w:p>
    <w:p>
      <w:r>
        <w:t>Тогда (ненасыщенное значение):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X_d = E₀ / I_к</w:t>
      </w:r>
    </w:p>
    <w:p>
      <w:r>
        <w:t>Поскольку ХХХ нелинейна, различают:</w:t>
      </w:r>
    </w:p>
    <w:p>
      <w:pPr>
        <w:pStyle w:val="ListBullet"/>
      </w:pPr>
      <w:r>
        <w:rPr>
          <w:b/>
        </w:rPr>
        <w:t>ненасыщенное</w:t>
      </w:r>
      <w:r>
        <w:t xml:space="preserve"> </w:t>
      </w:r>
      <w:r>
        <w:rPr>
          <w:rFonts w:ascii="Consolas" w:hAnsi="Consolas"/>
          <w:color w:val="C03030"/>
          <w:sz w:val="20"/>
        </w:rPr>
        <w:t>X_d</w:t>
      </w:r>
      <w:r>
        <w:t xml:space="preserve"> — по продолжению линейного участка ХХХ;</w:t>
      </w:r>
    </w:p>
    <w:p>
      <w:pPr>
        <w:pStyle w:val="ListBullet"/>
      </w:pPr>
      <w:r>
        <w:rPr>
          <w:b/>
        </w:rPr>
        <w:t>насыщенное</w:t>
      </w:r>
      <w:r>
        <w:t xml:space="preserve"> </w:t>
      </w:r>
      <w:r>
        <w:rPr>
          <w:rFonts w:ascii="Consolas" w:hAnsi="Consolas"/>
          <w:color w:val="C03030"/>
          <w:sz w:val="20"/>
        </w:rPr>
        <w:t>X_d</w:t>
      </w:r>
      <w:r>
        <w:t xml:space="preserve"> — по фактической ЭДС вблизи номинала.</w:t>
      </w:r>
    </w:p>
    <w:p>
      <w:r>
        <w:t>Насыщенное значение меньше ненасыщенного.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Отношение короткого замыкания (ОКЗ)</w:t>
      </w:r>
    </w:p>
    <w:p>
      <w:r>
        <w:rPr>
          <w:b/>
        </w:rPr>
        <w:t>ОКЗ</w:t>
      </w:r>
      <w:r>
        <w:t xml:space="preserve"> (КОКЗ) — важный безразмерный параметр: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ОКЗ = I_в0 / I_вк</w:t>
      </w:r>
    </w:p>
    <w:p>
      <w:r>
        <w:t>где: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I_в0</w:t>
      </w:r>
      <w:r>
        <w:t xml:space="preserve"> — ток возбуждения, дающий по ХХХ номинальное напряжение </w:t>
      </w:r>
      <w:r>
        <w:rPr>
          <w:rFonts w:ascii="Consolas" w:hAnsi="Consolas"/>
          <w:color w:val="C03030"/>
          <w:sz w:val="20"/>
        </w:rPr>
        <w:t>U_ном</w:t>
      </w:r>
      <w:r>
        <w:t>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I_вк</w:t>
      </w:r>
      <w:r>
        <w:t xml:space="preserve"> — ток возбуждения, дающий по ХКЗ номинальный ток якоря </w:t>
      </w:r>
      <w:r>
        <w:rPr>
          <w:rFonts w:ascii="Consolas" w:hAnsi="Consolas"/>
          <w:color w:val="C03030"/>
          <w:sz w:val="20"/>
        </w:rPr>
        <w:t>I_ном</w:t>
      </w:r>
      <w:r>
        <w:t>.</w:t>
      </w:r>
    </w:p>
    <w:p>
      <w:r>
        <w:t xml:space="preserve">Приближённо ОКЗ обратно пропорционально </w:t>
      </w:r>
      <w:r>
        <w:rPr>
          <w:rFonts w:ascii="Consolas" w:hAnsi="Consolas"/>
          <w:color w:val="C03030"/>
          <w:sz w:val="20"/>
        </w:rPr>
        <w:t>X_d</w:t>
      </w:r>
      <w:r>
        <w:t xml:space="preserve"> (в относительных единицах): </w:t>
      </w:r>
      <w:r>
        <w:rPr>
          <w:rFonts w:ascii="Consolas" w:hAnsi="Consolas"/>
          <w:color w:val="C03030"/>
          <w:sz w:val="20"/>
        </w:rPr>
        <w:t>ОКЗ ≈ 1 / X_d*</w:t>
      </w:r>
      <w:r>
        <w:t>.</w:t>
      </w:r>
    </w:p>
    <w:p>
      <w:r>
        <w:rPr>
          <w:b/>
        </w:rPr>
        <w:t>Смысл:</w:t>
      </w:r>
    </w:p>
    <w:p>
      <w:pPr>
        <w:pStyle w:val="ListBullet"/>
      </w:pPr>
      <w:r>
        <w:t xml:space="preserve">большое ОКЗ (0.7–1.0) → малое </w:t>
      </w:r>
      <w:r>
        <w:rPr>
          <w:rFonts w:ascii="Consolas" w:hAnsi="Consolas"/>
          <w:color w:val="C03030"/>
          <w:sz w:val="20"/>
        </w:rPr>
        <w:t>X_d</w:t>
      </w:r>
      <w:r>
        <w:t xml:space="preserve"> → меньшее изменение напряжения, лучшая устойчивость, но больше габариты и стоимость (характерно для гидрогенераторов);</w:t>
      </w:r>
    </w:p>
    <w:p>
      <w:pPr>
        <w:pStyle w:val="ListBullet"/>
      </w:pPr>
      <w:r>
        <w:t xml:space="preserve">малое ОКЗ (0.4–0.7) → большое </w:t>
      </w:r>
      <w:r>
        <w:rPr>
          <w:rFonts w:ascii="Consolas" w:hAnsi="Consolas"/>
          <w:color w:val="C03030"/>
          <w:sz w:val="20"/>
        </w:rPr>
        <w:t>X_d</w:t>
      </w:r>
      <w:r>
        <w:t xml:space="preserve"> → компактнее, но хуже устойчивость (турбогенераторы).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b/>
        </w:rPr>
        <w:t>Задача.</w:t>
      </w:r>
      <w:r>
        <w:t xml:space="preserve"> При токе возбуждения </w:t>
      </w:r>
      <w:r>
        <w:rPr>
          <w:rFonts w:ascii="Consolas" w:hAnsi="Consolas"/>
          <w:color w:val="C03030"/>
          <w:sz w:val="20"/>
        </w:rPr>
        <w:t>I_в = 100 А</w:t>
      </w:r>
      <w:r>
        <w:t xml:space="preserve">: по ХХХ </w:t>
      </w:r>
      <w:r>
        <w:rPr>
          <w:rFonts w:ascii="Consolas" w:hAnsi="Consolas"/>
          <w:color w:val="C03030"/>
          <w:sz w:val="20"/>
        </w:rPr>
        <w:t>E₀ = 6600 В</w:t>
      </w:r>
      <w:r>
        <w:t xml:space="preserve"> (фазная), по ХКЗ </w:t>
      </w:r>
      <w:r>
        <w:rPr>
          <w:rFonts w:ascii="Consolas" w:hAnsi="Consolas"/>
          <w:color w:val="C03030"/>
          <w:sz w:val="20"/>
        </w:rPr>
        <w:t>I_к = 825 А</w:t>
      </w:r>
      <w:r>
        <w:t xml:space="preserve">. Номинальные данные фазы: </w:t>
      </w:r>
      <w:r>
        <w:rPr>
          <w:rFonts w:ascii="Consolas" w:hAnsi="Consolas"/>
          <w:color w:val="C03030"/>
          <w:sz w:val="20"/>
        </w:rPr>
        <w:t>U_ном = 6000 В</w:t>
      </w:r>
      <w:r>
        <w:t xml:space="preserve">, </w:t>
      </w:r>
      <w:r>
        <w:rPr>
          <w:rFonts w:ascii="Consolas" w:hAnsi="Consolas"/>
          <w:color w:val="C03030"/>
          <w:sz w:val="20"/>
        </w:rPr>
        <w:t>I_ном = 750 А</w:t>
      </w:r>
      <w:r>
        <w:t xml:space="preserve">. Найти </w:t>
      </w:r>
      <w:r>
        <w:rPr>
          <w:rFonts w:ascii="Consolas" w:hAnsi="Consolas"/>
          <w:color w:val="C03030"/>
          <w:sz w:val="20"/>
        </w:rPr>
        <w:t>X_d</w:t>
      </w:r>
      <w:r>
        <w:t xml:space="preserve"> и оценить ОКЗ.</w:t>
      </w:r>
    </w:p>
    <w:p>
      <w:r>
        <w:rPr>
          <w:b/>
        </w:rPr>
        <w:t>Решение: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X_d = E₀ / I_к = 6600 / 825 = 8 Ом</w:t>
      </w:r>
    </w:p>
    <w:p>
      <w:r>
        <w:t xml:space="preserve">В относительных единицах: </w:t>
      </w:r>
      <w:r>
        <w:rPr>
          <w:rFonts w:ascii="Consolas" w:hAnsi="Consolas"/>
          <w:color w:val="C03030"/>
          <w:sz w:val="20"/>
        </w:rPr>
        <w:t>Z_баз = U_ном / I_ном = 6000 / 750 = 8 Ом</w:t>
      </w:r>
      <w:r>
        <w:t xml:space="preserve">, значит </w:t>
      </w:r>
      <w:r>
        <w:rPr>
          <w:rFonts w:ascii="Consolas" w:hAnsi="Consolas"/>
          <w:color w:val="C03030"/>
          <w:sz w:val="20"/>
        </w:rPr>
        <w:t>X_d* = 8/8 = 1.0</w:t>
      </w:r>
      <w:r>
        <w:t>.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ОКЗ ≈ 1 / X_d* = 1.0</w:t>
      </w:r>
    </w:p>
    <w:p>
      <w:r>
        <w:t>Машина с хорошим запасом устойчивости (типично для гидрогенератора).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Векторная диаграмма строится по </w:t>
      </w:r>
      <w:r>
        <w:rPr>
          <w:rFonts w:ascii="Consolas" w:hAnsi="Consolas"/>
          <w:color w:val="C03030"/>
          <w:sz w:val="20"/>
        </w:rPr>
        <w:t>E₀ = U + jI X_d</w:t>
      </w:r>
      <w:r>
        <w:t xml:space="preserve">; угол между </w:t>
      </w:r>
      <w:r>
        <w:rPr>
          <w:rFonts w:ascii="Consolas" w:hAnsi="Consolas"/>
          <w:color w:val="C03030"/>
          <w:sz w:val="20"/>
        </w:rPr>
        <w:t>E₀</w:t>
      </w:r>
      <w:r>
        <w:t xml:space="preserve"> и </w:t>
      </w:r>
      <w:r>
        <w:rPr>
          <w:rFonts w:ascii="Consolas" w:hAnsi="Consolas"/>
          <w:color w:val="C03030"/>
          <w:sz w:val="20"/>
        </w:rPr>
        <w:t>U</w:t>
      </w:r>
      <w:r>
        <w:t xml:space="preserve"> — угол нагрузки </w:t>
      </w:r>
      <w:r>
        <w:rPr>
          <w:rFonts w:ascii="Consolas" w:hAnsi="Consolas"/>
          <w:color w:val="C03030"/>
          <w:sz w:val="20"/>
        </w:rPr>
        <w:t>θ</w:t>
      </w:r>
      <w:r>
        <w:t>.</w:t>
      </w:r>
    </w:p>
    <w:p>
      <w:pPr>
        <w:pStyle w:val="ListNumber"/>
      </w:pPr>
      <w:r>
        <w:t xml:space="preserve">ХХХ </w:t>
      </w:r>
      <w:r>
        <w:rPr>
          <w:rFonts w:ascii="Consolas" w:hAnsi="Consolas"/>
          <w:color w:val="C03030"/>
          <w:sz w:val="20"/>
        </w:rPr>
        <w:t>E₀(I_в)</w:t>
      </w:r>
      <w:r>
        <w:t xml:space="preserve"> нелинейна из-за насыщения; ХКЗ </w:t>
      </w:r>
      <w:r>
        <w:rPr>
          <w:rFonts w:ascii="Consolas" w:hAnsi="Consolas"/>
          <w:color w:val="C03030"/>
          <w:sz w:val="20"/>
        </w:rPr>
        <w:t>I_к(I_в)</w:t>
      </w:r>
      <w:r>
        <w:t xml:space="preserve"> линейна (машина не насыщена).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X_d = E₀ / I_к</w:t>
      </w:r>
      <w:r>
        <w:t xml:space="preserve"> при одинаковом </w:t>
      </w:r>
      <w:r>
        <w:rPr>
          <w:rFonts w:ascii="Consolas" w:hAnsi="Consolas"/>
          <w:color w:val="C03030"/>
          <w:sz w:val="20"/>
        </w:rPr>
        <w:t>I_в</w:t>
      </w:r>
      <w:r>
        <w:t>; различают насыщенное и ненасыщенное значения.</w:t>
      </w:r>
    </w:p>
    <w:p>
      <w:pPr>
        <w:pStyle w:val="ListNumber"/>
      </w:pPr>
      <w:r>
        <w:t xml:space="preserve">ОКЗ </w:t>
      </w:r>
      <w:r>
        <w:rPr>
          <w:rFonts w:ascii="Consolas" w:hAnsi="Consolas"/>
          <w:color w:val="C03030"/>
          <w:sz w:val="20"/>
        </w:rPr>
        <w:t>≈ 1/X_d*</w:t>
      </w:r>
      <w:r>
        <w:t xml:space="preserve"> характеризует устойчивость и габариты машины.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ХКЗ линейна, а ХХХ — нет?</w:t>
      </w:r>
    </w:p>
    <w:p>
      <w:pPr>
        <w:pStyle w:val="ListNumber"/>
      </w:pPr>
      <w:r>
        <w:t xml:space="preserve">Как по ХХХ и ХКЗ определить </w:t>
      </w:r>
      <w:r>
        <w:rPr>
          <w:rFonts w:ascii="Consolas" w:hAnsi="Consolas"/>
          <w:color w:val="C03030"/>
          <w:sz w:val="20"/>
        </w:rPr>
        <w:t>X_d</w:t>
      </w:r>
      <w:r>
        <w:t>?</w:t>
      </w:r>
    </w:p>
    <w:p>
      <w:pPr>
        <w:pStyle w:val="ListNumber"/>
      </w:pPr>
      <w:r>
        <w:t>Что физически означает большое и малое ОКЗ?</w:t>
      </w:r>
    </w:p>
    <w:p>
      <w:pPr>
        <w:pStyle w:val="ListNumber"/>
      </w:pPr>
      <w:r>
        <w:t>Постройте векторную диаграмму генератора для ёмкостной нагрузки.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Лаб01</w:t>
      </w:r>
      <w:r>
        <w:t xml:space="preserve"> — снятие ХХХ и ХКЗ, определение </w:t>
      </w:r>
      <w:r>
        <w:rPr>
          <w:rFonts w:ascii="Consolas" w:hAnsi="Consolas"/>
          <w:color w:val="C03030"/>
          <w:sz w:val="20"/>
        </w:rPr>
        <w:t>X_d</w:t>
      </w:r>
      <w:r>
        <w:t xml:space="preserve"> и ОКЗ в Simulink.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