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Программа курса «Синхронные машины»</w:t>
      </w:r>
    </w:p>
    <w:p>
      <w:r>
        <w:rPr>
          <w:b/>
        </w:rPr>
        <w:t>Уровень:</w:t>
      </w:r>
      <w:r>
        <w:t xml:space="preserve"> Бакалавриат (3–4 курс)</w:t>
      </w:r>
    </w:p>
    <w:p>
      <w:r>
        <w:rPr>
          <w:b/>
        </w:rPr>
        <w:t>Объём:</w:t>
      </w:r>
      <w:r>
        <w:t xml:space="preserve"> 24 ч лекций (12 лекций × 2 ч) + 8 ч лабораторных (4 работы × 2 ч)</w:t>
      </w:r>
    </w:p>
    <w:p>
      <w:r>
        <w:rPr>
          <w:b/>
        </w:rPr>
        <w:t>Инструменты моделирования:</w:t>
      </w:r>
      <w:r>
        <w:t xml:space="preserve"> MATLAB/Simulink (Simscape Electrical); аналитический расчёт.</w:t>
      </w:r>
    </w:p>
    <w:p>
      <w:r>
        <w:rPr>
          <w:b/>
        </w:rPr>
        <w:t>Предпосылки:</w:t>
      </w:r>
      <w:r>
        <w:t xml:space="preserve"> ТОЭ (теория электрических цепей), магнитные цепи, трёхфазные цепи, основы электрических машин (трансформатор, общие законы электромеханического преобразования), математический анализ.</w:t>
      </w:r>
    </w:p>
    <w:p>
      <w:r>
        <w:rPr>
          <w:b/>
        </w:rPr>
        <w:t>Акцент курса:</w:t>
      </w:r>
      <w:r>
        <w:t xml:space="preserve"> синхронный генератор (устройство, характеристики, параллельная работа); синхронный двигатель и специальные машины рассматриваются в завершающем блоке.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Цели курса</w:t>
      </w:r>
    </w:p>
    <w:p>
      <w:r>
        <w:t>По итогам курса студент должен уметь:</w:t>
      </w:r>
    </w:p>
    <w:p>
      <w:pPr>
        <w:pStyle w:val="ListNumber"/>
      </w:pPr>
      <w:r>
        <w:t>Объяснять устройство и принцип действия синхронных машин (явнополюсных и неявнополюсных, с электромагнитным возбуждением и на постоянных магнитах).</w:t>
      </w:r>
    </w:p>
    <w:p>
      <w:pPr>
        <w:pStyle w:val="ListNumber"/>
      </w:pPr>
      <w:r>
        <w:t xml:space="preserve">Строить и читать векторные диаграммы, рассчитывать ЭДС, синхронные сопротивления </w:t>
      </w:r>
      <w:r>
        <w:rPr>
          <w:rFonts w:ascii="Consolas" w:hAnsi="Consolas"/>
          <w:color w:val="C03030"/>
          <w:sz w:val="20"/>
        </w:rPr>
        <w:t>X_d</w:t>
      </w:r>
      <w:r>
        <w:t xml:space="preserve">, </w:t>
      </w:r>
      <w:r>
        <w:rPr>
          <w:rFonts w:ascii="Consolas" w:hAnsi="Consolas"/>
          <w:color w:val="C03030"/>
          <w:sz w:val="20"/>
        </w:rPr>
        <w:t>X_q</w:t>
      </w:r>
      <w:r>
        <w:t>, угол нагрузки и электромагнитный момент.</w:t>
      </w:r>
    </w:p>
    <w:p>
      <w:pPr>
        <w:pStyle w:val="ListNumber"/>
      </w:pPr>
      <w:r>
        <w:t xml:space="preserve">Анализировать установившиеся режимы генератора: характеристики холостого хода, короткого замыкания, внешние, регулировочные, нагрузочные; определять ОКЗ и </w:t>
      </w:r>
      <w:r>
        <w:rPr>
          <w:rFonts w:ascii="Consolas" w:hAnsi="Consolas"/>
          <w:color w:val="C03030"/>
          <w:sz w:val="20"/>
        </w:rPr>
        <w:t>X_d</w:t>
      </w:r>
      <w:r>
        <w:t>.</w:t>
      </w:r>
    </w:p>
    <w:p>
      <w:pPr>
        <w:pStyle w:val="ListNumber"/>
      </w:pPr>
      <w:r>
        <w:t>Описывать параллельную работу генератора с сетью, условия синхронизации и регулирование активной и реактивной мощности (U-образные характеристики).</w:t>
      </w:r>
    </w:p>
    <w:p>
      <w:pPr>
        <w:pStyle w:val="ListNumber"/>
      </w:pPr>
      <w:r>
        <w:t>Анализировать синхронный двигатель: пуск, угловую характеристику момента, статическую устойчивость.</w:t>
      </w:r>
    </w:p>
    <w:p>
      <w:pPr>
        <w:pStyle w:val="ListNumber"/>
      </w:pPr>
      <w:r>
        <w:t>Моделировать синхронные машины в MATLAB/Simulink и сопоставлять результаты расчёта с симуляцией.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Методика</w:t>
      </w:r>
    </w:p>
    <w:p>
      <w:pPr>
        <w:pStyle w:val="ListBullet"/>
      </w:pPr>
      <w:r>
        <w:t xml:space="preserve">Каждая </w:t>
      </w:r>
      <w:r>
        <w:rPr>
          <w:b/>
        </w:rPr>
        <w:t>лекция</w:t>
      </w:r>
      <w:r>
        <w:t xml:space="preserve"> даёт теорию, вывод ключевых формул и численный пример.</w:t>
      </w:r>
    </w:p>
    <w:p>
      <w:pPr>
        <w:pStyle w:val="ListBullet"/>
      </w:pPr>
      <w:r>
        <w:t xml:space="preserve">Каждая </w:t>
      </w:r>
      <w:r>
        <w:rPr>
          <w:b/>
        </w:rPr>
        <w:t>лабораторная</w:t>
      </w:r>
      <w:r>
        <w:t xml:space="preserve"> закрепляет блок тем через расчёт + моделирование, со сравнением с теорией.</w:t>
      </w:r>
    </w:p>
    <w:p>
      <w:pPr>
        <w:pStyle w:val="ListBullet"/>
      </w:pPr>
      <w:r>
        <w:t>Сквозной принцип: «посчитал → смоделировал → объяснил расхождение».</w:t>
      </w:r>
    </w:p>
    <w:p>
      <w:pPr>
        <w:pStyle w:val="ListBullet"/>
      </w:pPr>
      <w:r>
        <w:t>Лабораторных работ 4, нумерация отдельная (</w:t>
      </w:r>
      <w:r>
        <w:rPr>
          <w:rFonts w:ascii="Consolas" w:hAnsi="Consolas"/>
          <w:color w:val="C03030"/>
          <w:sz w:val="20"/>
        </w:rPr>
        <w:t>Лаб01…Лаб04</w:t>
      </w:r>
      <w:r>
        <w:t>); каждая опирается на пройденные лекции.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Структура курса (4 модуля)</w:t>
      </w:r>
    </w:p>
    <w:p>
      <w:pPr>
        <w:pStyle w:val="Heading3"/>
      </w:pPr>
      <w:r>
        <w:t>Модуль I. Устройство и физические основы</w:t>
      </w:r>
    </w:p>
    <w:p>
      <w:r>
        <w:t>| № | Лекция |</w:t>
      </w:r>
    </w:p>
    <w:p>
      <w:r>
        <w:t>|---|--------|</w:t>
      </w:r>
    </w:p>
    <w:p>
      <w:r>
        <w:t>| 01 | Введение в синхронные машины: назначение, классификация, принцип действия, обратимость |</w:t>
      </w:r>
    </w:p>
    <w:p>
      <w:r>
        <w:t>| 02 | Конструкция: статор, явнополюсный и неявнополюсный ротор, системы возбуждения |</w:t>
      </w:r>
    </w:p>
    <w:p>
      <w:r>
        <w:t>| 03 | Магнитное поле и ЭДС обмотки: вращающееся поле, обмоточный коэффициент, форма ЭДС |</w:t>
      </w:r>
    </w:p>
    <w:p>
      <w:pPr>
        <w:pStyle w:val="Heading3"/>
      </w:pPr>
      <w:r>
        <w:t>Модуль II. Синхронный генератор: установившиеся режимы (основной блок)</w:t>
      </w:r>
    </w:p>
    <w:p>
      <w:r>
        <w:t>| № | Лекция |</w:t>
      </w:r>
    </w:p>
    <w:p>
      <w:r>
        <w:t>|---|--------|</w:t>
      </w:r>
    </w:p>
    <w:p>
      <w:r>
        <w:t>| 04 | Реакция якоря; синхронное сопротивление; схема замещения неявнополюсной машины |</w:t>
      </w:r>
    </w:p>
    <w:p>
      <w:r>
        <w:t>| 05 | Векторные диаграммы; характеристики холостого хода и короткого замыкания; ОКЗ |</w:t>
      </w:r>
    </w:p>
    <w:p>
      <w:r>
        <w:t xml:space="preserve">| 06 | Явнополюсная машина: теория двух реакций (Блондель), </w:t>
      </w:r>
      <w:r>
        <w:rPr>
          <w:rFonts w:ascii="Consolas" w:hAnsi="Consolas"/>
          <w:color w:val="C03030"/>
          <w:sz w:val="20"/>
        </w:rPr>
        <w:t>X_d</w:t>
      </w:r>
      <w:r>
        <w:t xml:space="preserve"> и </w:t>
      </w:r>
      <w:r>
        <w:rPr>
          <w:rFonts w:ascii="Consolas" w:hAnsi="Consolas"/>
          <w:color w:val="C03030"/>
          <w:sz w:val="20"/>
        </w:rPr>
        <w:t>X_q</w:t>
      </w:r>
      <w:r>
        <w:t>, реактивный момент |</w:t>
      </w:r>
    </w:p>
    <w:p>
      <w:r>
        <w:t>| 07 | Внешние, регулировочные и нагрузочные характеристики генератора; потери и КПД |</w:t>
      </w:r>
    </w:p>
    <w:p>
      <w:pPr>
        <w:pStyle w:val="Heading3"/>
      </w:pPr>
      <w:r>
        <w:t>Модуль III. Параллельная работа и синхронный двигатель</w:t>
      </w:r>
    </w:p>
    <w:p>
      <w:r>
        <w:t>| № | Лекция |</w:t>
      </w:r>
    </w:p>
    <w:p>
      <w:r>
        <w:t>|---|--------|</w:t>
      </w:r>
    </w:p>
    <w:p>
      <w:r>
        <w:t>| 08 | Параллельная работа с сетью: условия и способы синхронизации |</w:t>
      </w:r>
    </w:p>
    <w:p>
      <w:r>
        <w:t>| 09 | Угловая характеристика, электромагнитный момент, статическая устойчивость; регулирование P |</w:t>
      </w:r>
    </w:p>
    <w:p>
      <w:r>
        <w:t>| 10 | Регулирование реактивной мощности; U-образные характеристики; синхронный компенсатор |</w:t>
      </w:r>
    </w:p>
    <w:p>
      <w:r>
        <w:t>| 11 | Синхронный двигатель: пуск, рабочие режимы, применение |</w:t>
      </w:r>
    </w:p>
    <w:p>
      <w:pPr>
        <w:pStyle w:val="Heading3"/>
      </w:pPr>
      <w:r>
        <w:t>Модуль IV. Переходные процессы и специальные машины</w:t>
      </w:r>
    </w:p>
    <w:p>
      <w:r>
        <w:t>| № | Лекция |</w:t>
      </w:r>
    </w:p>
    <w:p>
      <w:r>
        <w:t>|---|--------|</w:t>
      </w:r>
    </w:p>
    <w:p>
      <w:r>
        <w:t>| 12 | Внезапное КЗ и переходные реактивности (</w:t>
      </w:r>
      <w:r>
        <w:rPr>
          <w:rFonts w:ascii="Consolas" w:hAnsi="Consolas"/>
          <w:color w:val="C03030"/>
          <w:sz w:val="20"/>
        </w:rPr>
        <w:t>X′_d</w:t>
      </w:r>
      <w:r>
        <w:t xml:space="preserve">, </w:t>
      </w:r>
      <w:r>
        <w:rPr>
          <w:rFonts w:ascii="Consolas" w:hAnsi="Consolas"/>
          <w:color w:val="C03030"/>
          <w:sz w:val="20"/>
        </w:rPr>
        <w:t>X″_d</w:t>
      </w:r>
      <w:r>
        <w:t>), постоянные времени; спецмашины (PMSM/СДПМ, BLDC, реактивные); тренды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Лабораторные работы (моделирование + расчёт)</w:t>
      </w:r>
    </w:p>
    <w:p>
      <w:r>
        <w:t>| Лаб. | После лекции | Тема | Закрепляемые лекции |</w:t>
      </w:r>
    </w:p>
    <w:p>
      <w:r>
        <w:t>|------|--------------|------|---------------------|</w:t>
      </w:r>
    </w:p>
    <w:p>
      <w:r>
        <w:t xml:space="preserve">| 01 | Л05 | Характеристики ХХ и КЗ, определение </w:t>
      </w:r>
      <w:r>
        <w:rPr>
          <w:rFonts w:ascii="Consolas" w:hAnsi="Consolas"/>
          <w:color w:val="C03030"/>
          <w:sz w:val="20"/>
        </w:rPr>
        <w:t>X_d</w:t>
      </w:r>
      <w:r>
        <w:t xml:space="preserve"> и ОКЗ | 01–05 |</w:t>
      </w:r>
    </w:p>
    <w:p>
      <w:r>
        <w:t xml:space="preserve">| 02 | Л07 | Внешние и регулировочные характеристики при разных </w:t>
      </w:r>
      <w:r>
        <w:rPr>
          <w:rFonts w:ascii="Consolas" w:hAnsi="Consolas"/>
          <w:color w:val="C03030"/>
          <w:sz w:val="20"/>
        </w:rPr>
        <w:t>cos φ</w:t>
      </w:r>
      <w:r>
        <w:t xml:space="preserve"> | 06–07 |</w:t>
      </w:r>
    </w:p>
    <w:p>
      <w:r>
        <w:t>| 03 | Л10 | Параллельная работа: синхронизация и U-образные кривые (регулирование P/Q) | 08–10 |</w:t>
      </w:r>
    </w:p>
    <w:p>
      <w:r>
        <w:t>| 04 | Л11 | Синхронный двигатель: угловая характеристика и момент | 09–11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Оценивание (рекомендуемое)</w:t>
      </w:r>
    </w:p>
    <w:p>
      <w:pPr>
        <w:pStyle w:val="ListBullet"/>
      </w:pPr>
      <w:r>
        <w:t>Лабораторные работы (4 шт.) — 45%</w:t>
      </w:r>
    </w:p>
    <w:p>
      <w:pPr>
        <w:pStyle w:val="ListBullet"/>
      </w:pPr>
      <w:r>
        <w:t>Контрольное расчётное задание (1 шт., после модуля II) — 20%</w:t>
      </w:r>
    </w:p>
    <w:p>
      <w:pPr>
        <w:pStyle w:val="ListBullet"/>
      </w:pPr>
      <w:r>
        <w:t>Экзамен — 35%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Структура папок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Синхронные_машины/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00_Программа_курса.md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01_Литература.md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02_Экзаменационные_вопросы.md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Л01_Введение/           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Л02_Конструкция/        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Л03_Магнитное_поле_и_ЭДС/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Л04_Реакция_якоря/      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Л05_Характеристики_ХХ_и_КЗ/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Л06_Явнополюсная_машина/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Л07_Характеристики_генератора/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Л08_Параллельная_работа/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Л09_Угловая_характеристика/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Л10_Реактивная_мощность/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Л11_Синхронный_двигатель/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Л12_Переходные_и_спецмашины/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└── Лабораторные/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├── Лаб01_ХХ_и_КЗ.md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├── Лаб02_Характеристики_генератора.md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├── Лаб03_Параллельная_работа.md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└── Лаб04_Синхронный_двигатель.md</w:t>
      </w:r>
    </w:p>
    <w:p>
      <w:r>
        <w:t>Результаты сборки (</w:t>
      </w:r>
      <w:r>
        <w:rPr>
          <w:rFonts w:ascii="Consolas" w:hAnsi="Consolas"/>
          <w:color w:val="C03030"/>
          <w:sz w:val="20"/>
        </w:rPr>
        <w:t>.docx</w:t>
      </w:r>
      <w:r>
        <w:t xml:space="preserve">) складываются в папку </w:t>
      </w:r>
      <w:r>
        <w:rPr>
          <w:rFonts w:ascii="Consolas" w:hAnsi="Consolas"/>
          <w:color w:val="C03030"/>
          <w:sz w:val="20"/>
        </w:rPr>
        <w:t>Результаты/</w:t>
      </w:r>
      <w:r>
        <w:t xml:space="preserve">, включая единую расширенную методичку </w:t>
      </w:r>
      <w:r>
        <w:rPr>
          <w:rFonts w:ascii="Consolas" w:hAnsi="Consolas"/>
          <w:color w:val="C03030"/>
          <w:sz w:val="20"/>
        </w:rPr>
        <w:t>Методичка_Синхронные_машины.docx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