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00" w:lineRule="auto"/>
        <w:rPr>
          <w:sz w:val="39"/>
          <w:szCs w:val="39"/>
        </w:rPr>
      </w:pPr>
      <w:bookmarkStart w:colFirst="0" w:colLast="0" w:name="_ps27dod7b9f" w:id="0"/>
      <w:bookmarkEnd w:id="0"/>
      <w:r w:rsidDel="00000000" w:rsidR="00000000" w:rsidRPr="00000000">
        <w:rPr>
          <w:sz w:val="62"/>
          <w:szCs w:val="62"/>
          <w:rtl w:val="0"/>
        </w:rPr>
        <w:t xml:space="preserve">Reunião Novo site Prescrição Afya 15-9-26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u05262misnc3" w:id="1"/>
      <w:bookmarkEnd w:id="1"/>
      <w:r w:rsidDel="00000000" w:rsidR="00000000" w:rsidRPr="00000000">
        <w:rPr>
          <w:sz w:val="39"/>
          <w:szCs w:val="39"/>
          <w:rtl w:val="0"/>
        </w:rPr>
        <w:t xml:space="preserve">Participantes</w:t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Afya: Viviane Pinheiro (Vivi, coordenadora de Growth de Prescrição), Thais Lima (Tata, marketing de produto de Prescrição), Cauê Mattos Silvestre, Felipe Resende, Pietra Favarin.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Conversion: Rafa e Mateus.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Obs.: o início da call tratou do site Whitebook. A página de calculadoras está em revisão pelo time de conteúdo (entrega até dia 25) e deve subir por último. Correções de informação serão feitas internamente pela Afya. O restante são ajustes finos.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wl8lwuvaiyx0" w:id="2"/>
      <w:bookmarkEnd w:id="2"/>
      <w:r w:rsidDel="00000000" w:rsidR="00000000" w:rsidRPr="00000000">
        <w:rPr>
          <w:sz w:val="39"/>
          <w:szCs w:val="39"/>
          <w:rtl w:val="0"/>
        </w:rPr>
        <w:t xml:space="preserve">1. Contexto do produto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Prescrição Afya não tem site próprio. Ela funciona dentro de dois produtos e hoje só existem algumas landing pages.</w:t>
      </w:r>
    </w:p>
    <w:tbl>
      <w:tblPr>
        <w:tblStyle w:val="Table1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3030"/>
        <w:gridCol w:w="3240"/>
        <w:tblGridChange w:id="0">
          <w:tblGrid>
            <w:gridCol w:w="2055"/>
            <w:gridCol w:w="3030"/>
            <w:gridCol w:w="324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Whitebook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iClinic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Custo da prescrição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Gratuita e ilimitada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Incluída, mas o produto é pago (sem plano free)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Perfil do médico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Mais jovem, uso esporádico (ex.: plantão)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Especialista com consultório, mais experiente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Contexto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Direto ao ponto, integrada à decisão clínica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 frente do paciente, integrada ao prontuário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~8 prescrições/mês por prescritor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~110 prescrições/mês por prescritor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Plataforma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56% iOS, restante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Web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da base prescrevendo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54%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Valor além da prescrição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Bulário, conteúdos, apoio à decisão clínica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Prontuário, agenda, financeiro</w:t>
            </w:r>
          </w:p>
        </w:tc>
      </w:tr>
    </w:tbl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Pontos importantes: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Mesma ferramenta de prescrição nos dois produtos. O que muda é o contexto de uso, não as funcionalidades (histórico, modelos, interações medicamentosas etc.).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Apenas ~15% dos médicos no mercado prescrevem digitalmente. É um hábito relativamente novo.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Desafio Whitebook: é visto como produto de estudante e recém-formado (até ~3 anos). O especialista ainda não vê valor, e justamente o produto gratuito é o que ele menos valoriza.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Prescrição standalone (como Memed): descartada por enquanto. A prioridade da empresa é ativar a base do próprio ecossistema. Novos médicos serão captados via iClinic ou Whitebook.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Nomenclatura: no Whitebook existe uma aba de conteúdo chamada "Prescrição" (vias de prescrição) que não é a ferramenta. Esse nome vai mudar.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f7nqy14ew29z" w:id="3"/>
      <w:bookmarkEnd w:id="3"/>
      <w:r w:rsidDel="00000000" w:rsidR="00000000" w:rsidRPr="00000000">
        <w:rPr>
          <w:sz w:val="39"/>
          <w:szCs w:val="39"/>
          <w:rtl w:val="0"/>
        </w:rPr>
        <w:t xml:space="preserve">2. Momento regulatório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No dia 30 deste mês a Anvisa passa a autorizar a prescrição digital de medicamentos controlados (receitas azuis e amarelas, que antes eram só em talonário).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Expectativa de mais prescritores e maior volume.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Gera muitas dúvidas: como fazer, numeração na Anvisa/SNCR, qual assinatura digital é válida etc.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Recursos da Afya para isso: adequação automática do receituário e gestão de numerações.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cv97h6upadw7" w:id="4"/>
      <w:bookmarkEnd w:id="4"/>
      <w:r w:rsidDel="00000000" w:rsidR="00000000" w:rsidRPr="00000000">
        <w:rPr>
          <w:sz w:val="39"/>
          <w:szCs w:val="39"/>
          <w:rtl w:val="0"/>
        </w:rPr>
        <w:t xml:space="preserve">3. Objetivos do site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Tornar a Afya conhecida como solução de prescrição (hoje não é, nem dentro da própria base).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Mostrar que a prescrição digital é rápida e segura para médico e paciente: interação medicamentosa, nome correto do medicamento, menos erros na dispensação.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Deixar muito claras as duas soluções e ajudar o médico a escolher, sem parecer que uma é melhor que a outra.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Descomplicar: resolver dúvidas no site para não sobrecarregar o atendimento do Whitebook e iClinic.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Trazer também o lado emocional (conexão médico e paciente, liberar a rotina para cuidar), não só argumentos racionais.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Gerar conversão direta em Whitebook e iClinic.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8kba7p7l5s56" w:id="5"/>
      <w:bookmarkEnd w:id="5"/>
      <w:r w:rsidDel="00000000" w:rsidR="00000000" w:rsidRPr="00000000">
        <w:rPr>
          <w:sz w:val="39"/>
          <w:szCs w:val="39"/>
          <w:rtl w:val="0"/>
        </w:rPr>
        <w:t xml:space="preserve">4. Concorrentes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Memed (memed.com.br): líder de mercado. Perfis para médico, paciente, farmácia e parceiros. Modelo via API conectando prontuários, hospitais e operadoras.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Mevo (mevo.com.br): só prescrição.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Amigo: citado.</w:t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Diferença principal: concorrentes têm um único produto e link direto de cadastro. A Afya tem duas soluções inseridas em produtos maiores, o que é incomum no mercado e precisa ser comunicado de forma simples.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btvvmvz5naco" w:id="6"/>
      <w:bookmarkEnd w:id="6"/>
      <w:r w:rsidDel="00000000" w:rsidR="00000000" w:rsidRPr="00000000">
        <w:rPr>
          <w:sz w:val="39"/>
          <w:szCs w:val="39"/>
          <w:rtl w:val="0"/>
        </w:rPr>
        <w:t xml:space="preserve">5. Estrutura proposta (Miro)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0" w:before="100" w:line="300" w:lineRule="auto"/>
        <w:rPr>
          <w:color w:val="000000"/>
          <w:sz w:val="26"/>
          <w:szCs w:val="26"/>
        </w:rPr>
      </w:pPr>
      <w:bookmarkStart w:colFirst="0" w:colLast="0" w:name="_elwrfr6vjl17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Home</w:t>
      </w:r>
    </w:p>
    <w:p w:rsidR="00000000" w:rsidDel="00000000" w:rsidP="00000000" w:rsidRDefault="00000000" w:rsidRPr="00000000" w14:paraId="000000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Proposta de valor macro, benefícios, diferenciais e contextos de uso de cada produto: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iClinic: uso integrado, continuidade do cuidado, prescrição dentro do prontuário.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Whitebook: prescreva de forma simples e rápida, de onde estiver (app e web), integrada à decisão clínica sem trocar de ferramenta.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0" w:before="100" w:line="300" w:lineRule="auto"/>
        <w:rPr>
          <w:color w:val="000000"/>
          <w:sz w:val="26"/>
          <w:szCs w:val="26"/>
        </w:rPr>
      </w:pPr>
      <w:bookmarkStart w:colFirst="0" w:colLast="0" w:name="_1qwg3k4586nx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Recursos / Como funciona</w:t>
      </w:r>
    </w:p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Features principais, benefícios, passo a passo com GIFs e telas do produto.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Subpágina RDC 1025 (nome provisório): conformidade com as normas, prescrição de controlados, adequação automática do receituário, gestão de numerações.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0" w:before="100" w:line="300" w:lineRule="auto"/>
        <w:rPr>
          <w:color w:val="000000"/>
          <w:sz w:val="26"/>
          <w:szCs w:val="26"/>
        </w:rPr>
      </w:pPr>
      <w:bookmarkStart w:colFirst="0" w:colLast="0" w:name="_o9dtt44d2u3n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Para quem (nome a definir)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Médico: usuário principal.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Paciente: como recebe a prescrição (valor percebido pelo médico).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Farmácia: como recebe e valida a receita.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Clínicas e consultórios: ICP do iClinic, integração com prontuário eletrônico.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0" w:before="100" w:line="300" w:lineRule="auto"/>
        <w:rPr>
          <w:color w:val="000000"/>
          <w:sz w:val="26"/>
          <w:szCs w:val="26"/>
        </w:rPr>
      </w:pPr>
      <w:bookmarkStart w:colFirst="0" w:colLast="0" w:name="_4d4qyvnqqh2a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Dúvidas / Central de informações</w:t>
      </w:r>
    </w:p>
    <w:p w:rsidR="00000000" w:rsidDel="00000000" w:rsidP="00000000" w:rsidRDefault="00000000" w:rsidRPr="00000000" w14:paraId="000000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FAQ e textos sobre prescrição digital, sem separar por produto: assinatura digital, envio, regras de uso, primeiros passos.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0" w:before="100" w:line="300" w:lineRule="auto"/>
        <w:rPr>
          <w:color w:val="000000"/>
          <w:sz w:val="26"/>
          <w:szCs w:val="26"/>
        </w:rPr>
      </w:pPr>
      <w:bookmarkStart w:colFirst="0" w:colLast="0" w:name="_cdwmy19c9oeu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Soluções para parceiros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Dispensador: acesso para farmácias validarem receitas (já tem link próprio).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Indústria farmacêutica: B2B, ainda em revisão interna. Vivi sugeriu formulário de contato caindo no B2B.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0" w:before="100" w:line="300" w:lineRule="auto"/>
        <w:rPr>
          <w:color w:val="000000"/>
          <w:sz w:val="26"/>
          <w:szCs w:val="26"/>
        </w:rPr>
      </w:pPr>
      <w:bookmarkStart w:colFirst="0" w:colLast="0" w:name="_yyj8b9vv6y14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Blog</w:t>
      </w:r>
    </w:p>
    <w:p w:rsidR="00000000" w:rsidDel="00000000" w:rsidP="00000000" w:rsidRDefault="00000000" w:rsidRPr="00000000" w14:paraId="000000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Conteúdo sobre prescrição e contexto regulatório.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0" w:before="100" w:line="300" w:lineRule="auto"/>
        <w:rPr>
          <w:color w:val="000000"/>
          <w:sz w:val="26"/>
          <w:szCs w:val="26"/>
        </w:rPr>
      </w:pPr>
      <w:bookmarkStart w:colFirst="0" w:colLast="0" w:name="_phuoljdwc8sk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Página dinâmica de especialidades (SEO programático)</w:t>
      </w:r>
    </w:p>
    <w:p w:rsidR="00000000" w:rsidDel="00000000" w:rsidP="00000000" w:rsidRDefault="00000000" w:rsidRPr="00000000" w14:paraId="0000005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Fora da estrutura principal, focada em captura de tráfego.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0" w:before="100" w:line="300" w:lineRule="auto"/>
        <w:rPr>
          <w:color w:val="000000"/>
          <w:sz w:val="26"/>
          <w:szCs w:val="26"/>
        </w:rPr>
      </w:pPr>
      <w:bookmarkStart w:colFirst="0" w:colLast="0" w:name="_6ptala531f3j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Soluções por produto (iClinic e Whitebook detalhados)</w:t>
      </w:r>
    </w:p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Proposta pela Thais, mas o grupo avaliou que ficaria repetitiva. Ver decisões.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8u5svr4sjb2" w:id="15"/>
      <w:bookmarkEnd w:id="15"/>
      <w:r w:rsidDel="00000000" w:rsidR="00000000" w:rsidRPr="00000000">
        <w:rPr>
          <w:sz w:val="39"/>
          <w:szCs w:val="39"/>
          <w:rtl w:val="0"/>
        </w:rPr>
        <w:t xml:space="preserve">6. Decisões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Foco em CRO: páginas principais levam direto para conversão (cadastro no Whitebook, planos ou trial no iClinic), sem passar pelas páginas de prescrição dos sites de cada produto.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Sem página extra detalhando iClinic e Whitebook: a diferença entre os produtos deve ficar clara já na Home.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Simplicidade é prioridade: não fragmentar informações.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Soluções para parceiros: mantida.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Blog próprio: sim. Blogs do Whitebook e iClinic seguem como foco principal. O blog de Prescrição será alimentado com ~450 pautas já mapeadas, geradas com IA e revisadas. Dá independência para publicar sobre temas regulatórios.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Domínio: prescricaodigital.com (confirmar grafia).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SEO programático: Conversion cria 1 template para uma especialidade (ex.: ginecologia). A Afya replica internamente para as demais, como foi feito no Whitebook.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Visual: alinhado aos novos sites do Whitebook e iClinic, nada disruptivo.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gf25krjavgkd" w:id="16"/>
      <w:bookmarkEnd w:id="16"/>
      <w:r w:rsidDel="00000000" w:rsidR="00000000" w:rsidRPr="00000000">
        <w:rPr>
          <w:sz w:val="39"/>
          <w:szCs w:val="39"/>
          <w:rtl w:val="0"/>
        </w:rPr>
        <w:t xml:space="preserve">7. Pontos em aberto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Como apresentar as duas soluções sem parecer comparativo de planos. Referências: página de planos do Whitebook e a LP provisória (dentro do consultório vs. fora do consultório).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CTAs: sugestão do Felipe "Quero prescrever grátis" e "Quero prescrever e gerenciar minha clínica". Rafa observou que a LP provisória não deixa claro que o Whitebook é grátis.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Desafio levantado pela Conversion: o usuário quer "só o cinto" (só prescrição), e a Memed é ultra simples. A comunicação precisa compensar isso.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Nome final da subpágina RDC 1025 e da seção "Para quem".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Página de indústria farmacêutica depende de alinhamento interno.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Limite de páginas do contrato com a Conversion.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852mzqvlwo41" w:id="17"/>
      <w:bookmarkEnd w:id="17"/>
      <w:r w:rsidDel="00000000" w:rsidR="00000000" w:rsidRPr="00000000">
        <w:rPr>
          <w:sz w:val="39"/>
          <w:szCs w:val="39"/>
          <w:rtl w:val="0"/>
        </w:rPr>
        <w:t xml:space="preserve">8. Próximos passos</w:t>
      </w:r>
    </w:p>
    <w:tbl>
      <w:tblPr>
        <w:tblStyle w:val="Table2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0"/>
        <w:gridCol w:w="1935"/>
        <w:gridCol w:w="1485"/>
        <w:tblGridChange w:id="0">
          <w:tblGrid>
            <w:gridCol w:w="4920"/>
            <w:gridCol w:w="1935"/>
            <w:gridCol w:w="14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Prazo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Preencher o briefing (cópia do Whitebook) com dados de Prescrição, incluindo sites que gostam e não gostam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Thais e Vivi (Cauê revisa)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Até amanhã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Enviar referências de marcas com caso semelhante (uma feature compartilhada entre dois produtos)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Afya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Junto com o briefing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Passar a estrutura do Miro para Word ou PDF e subir na pasta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Junto com o briefing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Criar pasta do projeto Prescrição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Imediato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Alinhar internamente a página de indústria farmacêutica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Afya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definir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Preview da Home (e possivelmente outra página)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Próxima semana</w:t>
            </w:r>
          </w:p>
        </w:tc>
      </w:tr>
    </w:tbl>
    <w:p w:rsidR="00000000" w:rsidDel="00000000" w:rsidP="00000000" w:rsidRDefault="00000000" w:rsidRPr="00000000" w14:paraId="0000007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Comunicação: grupo de WhatsApp e Slack.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yeomtcau7lab" w:id="18"/>
      <w:bookmarkEnd w:id="18"/>
      <w:r w:rsidDel="00000000" w:rsidR="00000000" w:rsidRPr="00000000">
        <w:rPr>
          <w:sz w:val="39"/>
          <w:szCs w:val="39"/>
          <w:rtl w:val="0"/>
        </w:rPr>
        <w:t xml:space="preserve">9. Links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LP provisória de Prescrição:</w:t>
      </w:r>
      <w:hyperlink r:id="rId6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73e6"/>
            <w:sz w:val="21"/>
            <w:szCs w:val="21"/>
            <w:rtl w:val="0"/>
          </w:rPr>
          <w:t xml:space="preserve">https://lps.iclinic.com.br/prescricao-home/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Memed:</w:t>
      </w:r>
      <w:hyperlink r:id="rId8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0073e6"/>
            <w:sz w:val="21"/>
            <w:szCs w:val="21"/>
            <w:rtl w:val="0"/>
          </w:rPr>
          <w:t xml:space="preserve">https://memed.com.br/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Mevo:</w:t>
      </w:r>
      <w:hyperlink r:id="rId10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0073e6"/>
            <w:sz w:val="21"/>
            <w:szCs w:val="21"/>
            <w:rtl w:val="0"/>
          </w:rPr>
          <w:t xml:space="preserve">https://mevo.com.br/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Página de planos Whitebook:</w:t>
      </w:r>
      <w:hyperlink r:id="rId12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0073e6"/>
            <w:sz w:val="21"/>
            <w:szCs w:val="21"/>
            <w:rtl w:val="0"/>
          </w:rPr>
          <w:t xml:space="preserve">https://whitebook.conversion.com.br/planos/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evo.com.br/" TargetMode="External"/><Relationship Id="rId10" Type="http://schemas.openxmlformats.org/officeDocument/2006/relationships/hyperlink" Target="https://mevo.com.br/" TargetMode="External"/><Relationship Id="rId13" Type="http://schemas.openxmlformats.org/officeDocument/2006/relationships/hyperlink" Target="https://whitebook.conversion.com.br/planos/" TargetMode="External"/><Relationship Id="rId12" Type="http://schemas.openxmlformats.org/officeDocument/2006/relationships/hyperlink" Target="https://whitebook.conversion.com.br/plano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med.com.br/" TargetMode="External"/><Relationship Id="rId5" Type="http://schemas.openxmlformats.org/officeDocument/2006/relationships/styles" Target="styles.xml"/><Relationship Id="rId6" Type="http://schemas.openxmlformats.org/officeDocument/2006/relationships/hyperlink" Target="https://lps.iclinic.com.br/prescricao-home/" TargetMode="External"/><Relationship Id="rId7" Type="http://schemas.openxmlformats.org/officeDocument/2006/relationships/hyperlink" Target="https://lps.iclinic.com.br/prescricao-home/" TargetMode="External"/><Relationship Id="rId8" Type="http://schemas.openxmlformats.org/officeDocument/2006/relationships/hyperlink" Target="https://memed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